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1F4E79"/>
          <w:sz w:val="44"/>
          <w:szCs w:val="44"/>
        </w:rPr>
        <w:t xml:space="preserve">Prototype &amp; Validation Report</w:t>
      </w:r>
    </w:p>
    <w:p>
      <w:pPr>
        <w:spacing w:before="200"/>
        <w:jc w:val="center"/>
      </w:pPr>
      <w:r>
        <w:rPr>
          <w:sz w:val="28"/>
          <w:szCs w:val="28"/>
        </w:rPr>
        <w:t xml:space="preserve">AI-Powered Waiting Time Prediction for Mobile Repair and Warranty Services</w:t>
      </w:r>
    </w:p>
    <w:p>
      <w:pPr>
        <w:spacing w:before="400"/>
        <w:jc w:val="center"/>
      </w:pPr>
      <w:r>
        <w:rPr>
          <w:i/>
          <w:iCs/>
          <w:sz w:val="24"/>
          <w:szCs w:val="24"/>
        </w:rPr>
        <w:t xml:space="preserve">Project Better Tomorrow — Continuation Track (Pathway A)</w:t>
      </w:r>
    </w:p>
    <w:p>
      <w:pPr>
        <w:jc w:val="center"/>
      </w:pPr>
      <w:r>
        <w:rPr>
          <w:i/>
          <w:iCs/>
          <w:sz w:val="22"/>
          <w:szCs w:val="22"/>
        </w:rPr>
        <w:t xml:space="preserve">Continuation of C29 – Design Thinking for AI-Powered Problem Solving</w:t>
      </w:r>
    </w:p>
    <w:p>
      <w:pPr>
        <w:spacing w:before="800"/>
      </w:pPr>
    </w:p>
    <w:p>
      <w:pPr>
        <w:jc w:val="center"/>
      </w:pPr>
      <w:r>
        <w:rPr>
          <w:sz w:val="22"/>
          <w:szCs w:val="22"/>
        </w:rPr>
        <w:t xml:space="preserve">Prepared by: Sureshgopi V (Suresh)</w:t>
      </w:r>
    </w:p>
    <w:p>
      <w:pPr>
        <w:jc w:val="center"/>
      </w:pPr>
      <w:r>
        <w:rPr>
          <w:sz w:val="22"/>
          <w:szCs w:val="22"/>
        </w:rPr>
        <w:t xml:space="preserve">B.E. Computer Science &amp; Engineering, Section CSE-D</w:t>
      </w:r>
    </w:p>
    <w:p>
      <w:pPr>
        <w:jc w:val="center"/>
      </w:pPr>
      <w:r>
        <w:rPr>
          <w:sz w:val="22"/>
          <w:szCs w:val="22"/>
        </w:rPr>
        <w:t xml:space="preserve">Rathinam Technical Campus (Autonomous), Coimbatore, Tamil Nadu</w:t>
      </w:r>
    </w:p>
    <w:p>
      <w:pPr>
        <w:spacing w:before="400"/>
        <w:jc w:val="center"/>
      </w:pPr>
      <w:r>
        <w:rPr>
          <w:color w:val="0563C1"/>
          <w:sz w:val="20"/>
          <w:szCs w:val="20"/>
          <w:u w:val="single"/>
        </w:rPr>
        <w:t xml:space="preserve">Repository: https://github.com/SureshAPI/AI-Powered-Wait-Time-Predictor</w:t>
      </w:r>
    </w:p>
    <w:p>
      <w:pPr>
        <w:jc w:val="center"/>
      </w:pPr>
      <w:r>
        <w:rPr>
          <w:sz w:val="20"/>
          <w:szCs w:val="20"/>
        </w:rPr>
        <w:t xml:space="preserve">Review 1 Submission</w:t>
      </w:r>
    </w:p>
    <w:p>
      <w:r>
        <w:br w:type="page"/>
      </w:r>
    </w:p>
    <w:p>
      <w:pPr>
        <w:pStyle w:val="Heading1"/>
        <w:spacing w:after="120" w:before="240"/>
      </w:pPr>
      <w:r>
        <w:t xml:space="preserve">Table of Contents</w:t>
      </w:r>
    </w:p>
    <w:p>
      <w:pPr>
        <w:pStyle w:val="ListParagraph"/>
        <w:numPr>
          <w:ilvl w:val="0"/>
          <w:numId w:val="1"/>
        </w:numPr>
        <w:spacing w:after="80"/>
      </w:pPr>
      <w:r>
        <w:t xml:space="preserve">1. Introduction &amp; Problem Statement</w:t>
      </w:r>
    </w:p>
    <w:p>
      <w:pPr>
        <w:pStyle w:val="ListParagraph"/>
        <w:numPr>
          <w:ilvl w:val="0"/>
          <w:numId w:val="1"/>
        </w:numPr>
        <w:spacing w:after="80"/>
      </w:pPr>
      <w:r>
        <w:t xml:space="preserve">2. System Architecture</w:t>
      </w:r>
    </w:p>
    <w:p>
      <w:pPr>
        <w:pStyle w:val="ListParagraph"/>
        <w:numPr>
          <w:ilvl w:val="0"/>
          <w:numId w:val="1"/>
        </w:numPr>
        <w:spacing w:after="80"/>
      </w:pPr>
      <w:r>
        <w:t xml:space="preserve">3. AI/ML Methodology &amp; Evaluation</w:t>
      </w:r>
    </w:p>
    <w:p>
      <w:pPr>
        <w:pStyle w:val="ListParagraph"/>
        <w:numPr>
          <w:ilvl w:val="0"/>
          <w:numId w:val="1"/>
        </w:numPr>
        <w:spacing w:after="80"/>
      </w:pPr>
      <w:r>
        <w:t xml:space="preserve">4. Prototype Implementation Summary</w:t>
      </w:r>
    </w:p>
    <w:p>
      <w:pPr>
        <w:pStyle w:val="ListParagraph"/>
        <w:numPr>
          <w:ilvl w:val="0"/>
          <w:numId w:val="1"/>
        </w:numPr>
        <w:spacing w:after="80"/>
      </w:pPr>
      <w:r>
        <w:t xml:space="preserve">5. Simulated Validation Study</w:t>
      </w:r>
    </w:p>
    <w:p>
      <w:pPr>
        <w:pStyle w:val="ListParagraph"/>
        <w:numPr>
          <w:ilvl w:val="0"/>
          <w:numId w:val="1"/>
        </w:numPr>
        <w:spacing w:after="80"/>
      </w:pPr>
      <w:r>
        <w:t xml:space="preserve">6. Responsible AI Considerations</w:t>
      </w:r>
    </w:p>
    <w:p>
      <w:pPr>
        <w:pStyle w:val="ListParagraph"/>
        <w:numPr>
          <w:ilvl w:val="0"/>
          <w:numId w:val="1"/>
        </w:numPr>
        <w:spacing w:after="80"/>
      </w:pPr>
      <w:r>
        <w:t xml:space="preserve">7. Limitations &amp; Future Work</w:t>
      </w:r>
    </w:p>
    <w:p>
      <w:pPr>
        <w:pStyle w:val="ListParagraph"/>
        <w:numPr>
          <w:ilvl w:val="0"/>
          <w:numId w:val="1"/>
        </w:numPr>
        <w:spacing w:after="80"/>
      </w:pPr>
      <w:r>
        <w:t xml:space="preserve">8. Repository &amp; Reproducibility</w:t>
      </w:r>
    </w:p>
    <w:p>
      <w:r>
        <w:br w:type="page"/>
      </w:r>
    </w:p>
    <w:p>
      <w:pPr>
        <w:pStyle w:val="Heading1"/>
        <w:spacing w:after="120" w:before="240"/>
      </w:pPr>
      <w:r>
        <w:t xml:space="preserve">1. Introduction &amp; Problem Statement</w:t>
      </w:r>
    </w:p>
    <w:p>
      <w:pPr>
        <w:spacing w:after="160"/>
      </w:pPr>
      <w:r>
        <w:t xml:space="preserve">Customers at mobile and electronics repair/warranty service shops typically do not know how long their repair or service will take. Wait time varies with repair type, phone brand/model, reported issue, current workload, technician availability, warranty procedure, and parts availability, and this uncertainty interferes with customers' work, college, travel, and other schedules.</w:t>
      </w:r>
    </w:p>
    <w:p>
      <w:pPr>
        <w:spacing w:after="160"/>
      </w:pPr>
      <w:r>
        <w:t xml:space="preserve">This project addresses that specific gap — not the general idea that customers wait too long, but that they lack a reliable way to know how long they will wait — with an AI-assisted waiting-time estimate.</w:t>
      </w:r>
    </w:p>
    <w:p>
      <w:pPr>
        <w:pStyle w:val="Heading2"/>
        <w:spacing w:after="120" w:before="240"/>
      </w:pPr>
      <w:r>
        <w:t xml:space="preserve">1.1 Continuation-Track Justification</w:t>
      </w:r>
    </w:p>
    <w:p>
      <w:pPr>
        <w:spacing w:after="160"/>
      </w:pPr>
      <w:r>
        <w:t xml:space="preserve">This project continues C29 – Design Thinking for AI-Powered Problem Solving under Pathway A (Continuation Track). The prior project's Empathise and Define stages are treated as already established and are not repeated here; this project begins at Ideate → Prototype → Validate → Deliver.</w:t>
      </w:r>
    </w:p>
    <w:p>
      <w:pPr>
        <w:spacing w:after="160"/>
      </w:pPr>
      <w:r>
        <w:t xml:space="preserve">A real field visit was conducted in person by the student at a mobile/electronics repair shop in Gandhipuram, Coimbatore, with a friend acting as a staff member during the recording. AI was used only as a thinking/analysis partner during the previous project's Empathise/Define stages; it did not independently observe customers or collect evidence.</w:t>
      </w:r>
    </w:p>
    <w:p>
      <w:pPr>
        <w:spacing w:after="160"/>
      </w:pPr>
      <w:r>
        <w:t xml:space="preserve">Field observations from that visit (single-visit estimates, not statistically validated measurements):</w:t>
      </w:r>
    </w:p>
    <w:p>
      <w:pPr>
        <w:pStyle w:val="ListParagraph"/>
        <w:numPr>
          <w:ilvl w:val="0"/>
          <w:numId w:val="1"/>
        </w:numPr>
        <w:spacing w:after="80"/>
      </w:pPr>
      <w:r>
        <w:t xml:space="preserve">Approximately 30-minute observation window.</w:t>
      </w:r>
    </w:p>
    <w:p>
      <w:pPr>
        <w:pStyle w:val="ListParagraph"/>
        <w:numPr>
          <w:ilvl w:val="0"/>
          <w:numId w:val="1"/>
        </w:numPr>
        <w:spacing w:after="80"/>
      </w:pPr>
      <w:r>
        <w:t xml:space="preserve">4 customers observed waiting during that period.</w:t>
      </w:r>
    </w:p>
    <w:p>
      <w:pPr>
        <w:pStyle w:val="ListParagraph"/>
        <w:numPr>
          <w:ilvl w:val="0"/>
          <w:numId w:val="1"/>
        </w:numPr>
        <w:spacing w:after="80"/>
      </w:pPr>
      <w:r>
        <w:t xml:space="preserve">Longest observed wait/service period: approximately 25 minutes.</w:t>
      </w:r>
    </w:p>
    <w:p>
      <w:pPr>
        <w:pStyle w:val="ListParagraph"/>
        <w:numPr>
          <w:ilvl w:val="0"/>
          <w:numId w:val="1"/>
        </w:numPr>
        <w:spacing w:after="80"/>
      </w:pPr>
      <w:r>
        <w:t xml:space="preserve">Estimated busy-hour volume: approximately 8–12 customers.</w:t>
      </w:r>
    </w:p>
    <w:p>
      <w:pPr>
        <w:pStyle w:val="Heading2"/>
        <w:spacing w:after="120" w:before="240"/>
      </w:pPr>
      <w:r>
        <w:t xml:space="preserve">1.2 Selected Solution</w:t>
      </w:r>
    </w:p>
    <w:p>
      <w:pPr>
        <w:spacing w:after="160"/>
      </w:pPr>
      <w:r>
        <w:t xml:space="preserve">AI-Powered Waiting Time Prediction using Gradient Boosting Regression, taking service type, phone brand, parts availability, current workload, technician availability, and warranty status as inputs, and producing an estimated service/waiting-time range — communicated explicitly as an estimate, never as a guarantee. Full alternatives-considered discussion is retained in the repository at docs/problem-context.md.</w:t>
      </w:r>
    </w:p>
    <w:p>
      <w:r>
        <w:br w:type="page"/>
      </w:r>
    </w:p>
    <w:p>
      <w:pPr>
        <w:pStyle w:val="Heading1"/>
        <w:spacing w:after="120" w:before="240"/>
      </w:pPr>
      <w:r>
        <w:t xml:space="preserve">2. System Architecture</w:t>
      </w:r>
    </w:p>
    <w:p>
      <w:pPr>
        <w:spacing w:after="160"/>
      </w:pPr>
      <w:r>
        <w:t xml:space="preserve">The prototype is a lightweight Flask web application: a customer/employee intake form feeds a preprocessing step, which feeds a baseline estimator and a Gradient Boosting Regression model, producing a predicted range with uncertainty language, logged for an employee dashboard and feedback loop.</w:t>
      </w:r>
    </w:p>
    <w:p>
      <w:pPr>
        <w:spacing w:after="160"/>
      </w:pPr>
      <w:r>
        <w:t xml:space="preserve">This format was chosen over a static mockup, a general shop-management platform, or a rule-based-only system because it is the smallest design that is genuinely testable (a person can perform the task, not just look at a picture), demonstrates a real, inspectable ML pipeline, and stays within the scope of a single college prototype. Full reasoning is in docs/architecture.md.</w:t>
      </w:r>
    </w:p>
    <w:p>
      <w:pPr>
        <w:pStyle w:val="Heading2"/>
        <w:spacing w:after="120" w:before="240"/>
      </w:pPr>
      <w:r>
        <w:t xml:space="preserve">2.1 Pipeline</w:t>
      </w:r>
    </w:p>
    <w:p>
      <w:pPr>
        <w:pStyle w:val="ListParagraph"/>
        <w:numPr>
          <w:ilvl w:val="0"/>
          <w:numId w:val="1"/>
        </w:numPr>
        <w:spacing w:after="80"/>
      </w:pPr>
      <w:r>
        <w:t xml:space="preserve">Customer/employee submits job details via the intake form.</w:t>
      </w:r>
    </w:p>
    <w:p>
      <w:pPr>
        <w:pStyle w:val="ListParagraph"/>
        <w:numPr>
          <w:ilvl w:val="0"/>
          <w:numId w:val="1"/>
        </w:numPr>
        <w:spacing w:after="80"/>
      </w:pPr>
      <w:r>
        <w:t xml:space="preserve">Preprocessing encodes categorical features (service type, phone brand, parts availability, warranty flag) and passes numeric features through.</w:t>
      </w:r>
    </w:p>
    <w:p>
      <w:pPr>
        <w:pStyle w:val="ListParagraph"/>
        <w:numPr>
          <w:ilvl w:val="0"/>
          <w:numId w:val="1"/>
        </w:numPr>
        <w:spacing w:after="80"/>
      </w:pPr>
      <w:r>
        <w:t xml:space="preserve">A baseline estimator (service-type mean + workload/technician adjustment) and a Gradient Boosting Regression model both produce a prediction.</w:t>
      </w:r>
    </w:p>
    <w:p>
      <w:pPr>
        <w:pStyle w:val="ListParagraph"/>
        <w:numPr>
          <w:ilvl w:val="0"/>
          <w:numId w:val="1"/>
        </w:numPr>
        <w:spacing w:after="80"/>
      </w:pPr>
      <w:r>
        <w:t xml:space="preserve">The result is displayed as an estimated range with explicit uncertainty language, and logged for the employee dashboard.</w:t>
      </w:r>
    </w:p>
    <w:p>
      <w:pPr>
        <w:pStyle w:val="ListParagraph"/>
        <w:numPr>
          <w:ilvl w:val="0"/>
          <w:numId w:val="1"/>
        </w:numPr>
        <w:spacing w:after="80"/>
      </w:pPr>
      <w:r>
        <w:t xml:space="preserve">An employee can record the actual completion time, closing the feedback loop for future retraining.</w:t>
      </w:r>
    </w:p>
    <w:p>
      <w:pPr>
        <w:pStyle w:val="Heading2"/>
        <w:spacing w:after="120" w:before="240"/>
      </w:pPr>
      <w:r>
        <w:t xml:space="preserve">2.2 Human-in-the-loop Responsibilities</w:t>
      </w:r>
    </w:p>
    <w:p>
      <w:pPr>
        <w:pStyle w:val="ListParagraph"/>
        <w:numPr>
          <w:ilvl w:val="0"/>
          <w:numId w:val="1"/>
        </w:numPr>
        <w:spacing w:after="80"/>
      </w:pPr>
      <w:r>
        <w:t xml:space="preserve">Employee enters/confirms job information and can correct it.</w:t>
      </w:r>
    </w:p>
    <w:p>
      <w:pPr>
        <w:pStyle w:val="ListParagraph"/>
        <w:numPr>
          <w:ilvl w:val="0"/>
          <w:numId w:val="1"/>
        </w:numPr>
        <w:spacing w:after="80"/>
      </w:pPr>
      <w:r>
        <w:t xml:space="preserve">Employee reviews the prediction before sharing it with the customer.</w:t>
      </w:r>
    </w:p>
    <w:p>
      <w:pPr>
        <w:pStyle w:val="ListParagraph"/>
        <w:numPr>
          <w:ilvl w:val="0"/>
          <w:numId w:val="1"/>
        </w:numPr>
        <w:spacing w:after="80"/>
      </w:pPr>
      <w:r>
        <w:t xml:space="preserve">Employee communicates the estimate — the system never presents it as a guarantee.</w:t>
      </w:r>
    </w:p>
    <w:p>
      <w:pPr>
        <w:pStyle w:val="ListParagraph"/>
        <w:numPr>
          <w:ilvl w:val="0"/>
          <w:numId w:val="1"/>
        </w:numPr>
        <w:spacing w:after="80"/>
      </w:pPr>
      <w:r>
        <w:t xml:space="preserve">Employee records the actual completion time (feedback loop).</w:t>
      </w:r>
    </w:p>
    <w:p>
      <w:r>
        <w:br w:type="page"/>
      </w:r>
    </w:p>
    <w:p>
      <w:pPr>
        <w:pStyle w:val="Heading1"/>
        <w:spacing w:after="120" w:before="240"/>
      </w:pPr>
      <w:r>
        <w:t xml:space="preserve">3. AI/ML Methodology &amp; Evaluation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FF3CD" w:color="auto" w:val="clear"/>
            <w:tcMar>
              <w:top w:type="dxa" w:w="120"/>
              <w:left w:type="dxa" w:w="120"/>
              <w:bottom w:type="dxa" w:w="120"/>
              <w:right w:type="dxa" w:w="120"/>
            </w:tcMar>
          </w:tcPr>
          <w:p>
            <w:r>
              <w:rPr>
                <w:b/>
                <w:bCs/>
                <w:color w:val="856404"/>
              </w:rPr>
              <w:t xml:space="preserve">All data and results in this section are SYNTHETIC / DEMONSTRATION DATA (600 generated rows, seed = 42). They demonstrate the technical pipeline; they are not evidence of real-world predictive accuracy.</w:t>
            </w:r>
          </w:p>
        </w:tc>
      </w:tr>
    </w:tbl>
    <w:p>
      <w:pPr>
        <w:spacing w:after="160"/>
      </w:pPr>
      <w:r>
        <w:t xml:space="preserve"/>
      </w:r>
    </w:p>
    <w:p>
      <w:pPr>
        <w:spacing w:after="160"/>
      </w:pPr>
      <w:r>
        <w:t xml:space="preserve">Categorical features (service type, phone brand, parts availability) and the boolean warranty flag are one-hot encoded (unseen categories handled gracefully); numeric features (current workload, technician availability) pass through unchanged. Two models are trained and compared: an explainable baseline (service-type mean plus a linear workload/technician adjustment) and a Gradient Boosting Regression model (200 estimators, max depth 3, learning rate 0.05), evaluated on an 80/20 train/test split.</w:t>
      </w:r>
    </w:p>
    <w:p>
      <w:pPr>
        <w:pStyle w:val="Heading2"/>
        <w:spacing w:after="120" w:before="240"/>
      </w:pPr>
      <w:r>
        <w:t xml:space="preserve">3.1 Results (synthetic data only)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350"/>
        <w:gridCol w:w="1700"/>
        <w:gridCol w:w="1700"/>
        <w:gridCol w:w="1600"/>
      </w:tblGrid>
      <w:tr>
        <w:trPr>
          <w:tblHeader/>
        </w:trPr>
        <w:tc>
          <w:tcPr>
            <w:tcW w:type="dxa" w:w="4350"/>
            <w:shd w:fill="DDEBF7" w:color="auto" w:val="clear"/>
          </w:tcPr>
          <w:p>
            <w:pPr>
              <w:jc w:val="left"/>
            </w:pPr>
            <w:r>
              <w:rPr>
                <w:b/>
                <w:bCs/>
              </w:rPr>
              <w:t xml:space="preserve">Model</w:t>
            </w:r>
          </w:p>
        </w:tc>
        <w:tc>
          <w:tcPr>
            <w:tcW w:type="dxa" w:w="1700"/>
            <w:shd w:fill="DDEBF7" w:color="auto" w:val="clear"/>
          </w:tcPr>
          <w:p>
            <w:pPr>
              <w:jc w:val="left"/>
            </w:pPr>
            <w:r>
              <w:rPr>
                <w:b/>
                <w:bCs/>
              </w:rPr>
              <w:t xml:space="preserve">MAE (min)</w:t>
            </w:r>
          </w:p>
        </w:tc>
        <w:tc>
          <w:tcPr>
            <w:tcW w:type="dxa" w:w="1700"/>
            <w:shd w:fill="DDEBF7" w:color="auto" w:val="clear"/>
          </w:tcPr>
          <w:p>
            <w:pPr>
              <w:jc w:val="left"/>
            </w:pPr>
            <w:r>
              <w:rPr>
                <w:b/>
                <w:bCs/>
              </w:rPr>
              <w:t xml:space="preserve">RMSE (min)</w:t>
            </w:r>
          </w:p>
        </w:tc>
        <w:tc>
          <w:tcPr>
            <w:tcW w:type="dxa" w:w="1600"/>
            <w:shd w:fill="DDEBF7" w:color="auto" w:val="clear"/>
          </w:tcPr>
          <w:p>
            <w:pPr>
              <w:jc w:val="left"/>
            </w:pPr>
            <w:r>
              <w:rPr>
                <w:b/>
                <w:bCs/>
              </w:rPr>
              <w:t xml:space="preserve">R²</w:t>
            </w:r>
          </w:p>
        </w:tc>
      </w:tr>
      <w:tr>
        <w:tc>
          <w:tcPr>
            <w:tcW w:type="dxa" w:w="4350"/>
          </w:tcPr>
          <w:p>
            <w:pPr>
              <w:jc w:val="left"/>
            </w:pPr>
            <w:r>
              <w:rPr>
                <w:b w:val="false"/>
                <w:bCs w:val="false"/>
              </w:rPr>
              <w:t xml:space="preserve">Baseline (service-type mean + adjustment)</w:t>
            </w:r>
          </w:p>
        </w:tc>
        <w:tc>
          <w:tcPr>
            <w:tcW w:type="dxa" w:w="1700"/>
          </w:tcPr>
          <w:p>
            <w:pPr>
              <w:jc w:val="left"/>
            </w:pPr>
            <w:r>
              <w:rPr>
                <w:b w:val="false"/>
                <w:bCs w:val="false"/>
              </w:rPr>
              <w:t xml:space="preserve">50.74</w:t>
            </w:r>
          </w:p>
        </w:tc>
        <w:tc>
          <w:tcPr>
            <w:tcW w:type="dxa" w:w="1700"/>
          </w:tcPr>
          <w:p>
            <w:pPr>
              <w:jc w:val="left"/>
            </w:pPr>
            <w:r>
              <w:rPr>
                <w:b w:val="false"/>
                <w:bCs w:val="false"/>
              </w:rPr>
              <w:t xml:space="preserve">63.30</w:t>
            </w:r>
          </w:p>
        </w:tc>
        <w:tc>
          <w:tcPr>
            <w:tcW w:type="dxa" w:w="1600"/>
          </w:tcPr>
          <w:p>
            <w:pPr>
              <w:jc w:val="left"/>
            </w:pPr>
            <w:r>
              <w:rPr>
                <w:b w:val="false"/>
                <w:bCs w:val="false"/>
              </w:rPr>
              <w:t xml:space="preserve">0.043</w:t>
            </w:r>
          </w:p>
        </w:tc>
      </w:tr>
      <w:tr>
        <w:tc>
          <w:tcPr>
            <w:tcW w:type="dxa" w:w="4350"/>
          </w:tcPr>
          <w:p>
            <w:pPr>
              <w:jc w:val="left"/>
            </w:pPr>
            <w:r>
              <w:rPr>
                <w:b w:val="false"/>
                <w:bCs w:val="false"/>
              </w:rPr>
              <w:t xml:space="preserve">Gradient Boosting Regression</w:t>
            </w:r>
          </w:p>
        </w:tc>
        <w:tc>
          <w:tcPr>
            <w:tcW w:type="dxa" w:w="1700"/>
          </w:tcPr>
          <w:p>
            <w:pPr>
              <w:jc w:val="left"/>
            </w:pPr>
            <w:r>
              <w:rPr>
                <w:b w:val="false"/>
                <w:bCs w:val="false"/>
              </w:rPr>
              <w:t xml:space="preserve">16.54</w:t>
            </w:r>
          </w:p>
        </w:tc>
        <w:tc>
          <w:tcPr>
            <w:tcW w:type="dxa" w:w="1700"/>
          </w:tcPr>
          <w:p>
            <w:pPr>
              <w:jc w:val="left"/>
            </w:pPr>
            <w:r>
              <w:rPr>
                <w:b w:val="false"/>
                <w:bCs w:val="false"/>
              </w:rPr>
              <w:t xml:space="preserve">24.76</w:t>
            </w:r>
          </w:p>
        </w:tc>
        <w:tc>
          <w:tcPr>
            <w:tcW w:type="dxa" w:w="1600"/>
          </w:tcPr>
          <w:p>
            <w:pPr>
              <w:jc w:val="left"/>
            </w:pPr>
            <w:r>
              <w:rPr>
                <w:b w:val="false"/>
                <w:bCs w:val="false"/>
              </w:rPr>
              <w:t xml:space="preserve">0.854</w:t>
            </w:r>
          </w:p>
        </w:tc>
      </w:tr>
    </w:tbl>
    <w:p>
      <w:pPr>
        <w:spacing w:after="160"/>
      </w:pPr>
      <w:r>
        <w:t xml:space="preserve"/>
      </w:r>
    </w:p>
    <w:p>
      <w:pPr>
        <w:spacing w:after="160"/>
      </w:pPr>
      <w:r>
        <w:rPr>
          <w:i/>
          <w:iCs/>
        </w:rPr>
        <w:t xml:space="preserve">The gap between the two models is expected here partly because the synthetic generator itself encodes non-linear effects (e.g. a large delay when parts must be ordered) that a boosting model can capture and a simple linear adjustment cannot — a property of the synthetic data, not proof of real-world performance.</w:t>
      </w:r>
    </w:p>
    <w:p>
      <w:pPr>
        <w:pStyle w:val="Heading2"/>
        <w:spacing w:after="120" w:before="240"/>
      </w:pPr>
      <w:r>
        <w:t xml:space="preserve">3.2 What Real-World Validation Would Require</w:t>
      </w:r>
    </w:p>
    <w:p>
      <w:pPr>
        <w:spacing w:after="160"/>
      </w:pPr>
      <w:r>
        <w:t xml:space="preserve">Real historical service records (service type, phone details, workload, technician availability, parts status, actual duration) from the shop, ideally covering enough volume and variety to retrain and re-evaluate the model honestly. Until then, this pipeline is a technical demonstration, not a validated predictor.</w:t>
      </w:r>
    </w:p>
    <w:p>
      <w:r>
        <w:br w:type="page"/>
      </w:r>
    </w:p>
    <w:p>
      <w:pPr>
        <w:pStyle w:val="Heading1"/>
        <w:spacing w:after="120" w:before="240"/>
      </w:pPr>
      <w:r>
        <w:t xml:space="preserve">4. Prototype Implementation Summary</w:t>
      </w:r>
    </w:p>
    <w:p>
      <w:pPr>
        <w:spacing w:after="160"/>
      </w:pPr>
      <w:r>
        <w:t xml:space="preserve">The prototype is implemented and runnable end-to-end:</w:t>
      </w:r>
    </w:p>
    <w:p>
      <w:pPr>
        <w:pStyle w:val="ListParagraph"/>
        <w:numPr>
          <w:ilvl w:val="0"/>
          <w:numId w:val="1"/>
        </w:numPr>
        <w:spacing w:after="80"/>
      </w:pPr>
      <w:r>
        <w:t xml:space="preserve">Customer intake form (service type, phone brand, parts availability, workload, technician availability, warranty flag) — collects no unnecessary personal data (no name, phone number, or device identifier).</w:t>
      </w:r>
    </w:p>
    <w:p>
      <w:pPr>
        <w:pStyle w:val="ListParagraph"/>
        <w:numPr>
          <w:ilvl w:val="0"/>
          <w:numId w:val="1"/>
        </w:numPr>
        <w:spacing w:after="80"/>
      </w:pPr>
      <w:r>
        <w:t xml:space="preserve">Prediction results page: estimated range with an explicit “estimate, not a guarantee” disclaimer, a plain-language explanation of what the prediction is based on, and a job reference ID.</w:t>
      </w:r>
    </w:p>
    <w:p>
      <w:pPr>
        <w:pStyle w:val="ListParagraph"/>
        <w:numPr>
          <w:ilvl w:val="0"/>
          <w:numId w:val="1"/>
        </w:numPr>
        <w:spacing w:after="80"/>
      </w:pPr>
      <w:r>
        <w:t xml:space="preserve">Employee dashboard: lists all logged jobs with AI vs. baseline predictions, and lets staff record the actual completion time.</w:t>
      </w:r>
    </w:p>
    <w:p>
      <w:pPr>
        <w:pStyle w:val="ListParagraph"/>
        <w:numPr>
          <w:ilvl w:val="0"/>
          <w:numId w:val="1"/>
        </w:numPr>
        <w:spacing w:after="80"/>
      </w:pPr>
      <w:r>
        <w:t xml:space="preserve">Automated test suite: 6/6 tests passing, covering the dataset, baseline, Gradient Boosting pipeline (including unseen-category handling), and the job-log feedback loop.</w:t>
      </w:r>
    </w:p>
    <w:p>
      <w:pPr>
        <w:spacing w:after="160"/>
      </w:pPr>
      <w:r>
        <w:t xml:space="preserve">Run instructions are in the repository README (pip install, python src/generate_synthetic_data.py, python -m src.train, python -m pytest tests/ -v, python app/app.py).</w:t>
      </w:r>
    </w:p>
    <w:p>
      <w:pPr>
        <w:pStyle w:val="Heading2"/>
        <w:spacing w:after="120" w:before="240"/>
      </w:pPr>
      <w:r>
        <w:t xml:space="preserve">4.1 Internal QA Findings</w:t>
      </w:r>
    </w:p>
    <w:p>
      <w:pPr>
        <w:spacing w:after="160"/>
      </w:pPr>
      <w:r>
        <w:t xml:space="preserve">Before any validation step, the running prototype was probed with edge-case inputs. Two real issues were found and fixed: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00"/>
        <w:gridCol w:w="4700"/>
        <w:gridCol w:w="1400"/>
        <w:gridCol w:w="2750"/>
      </w:tblGrid>
      <w:tr>
        <w:trPr>
          <w:tblHeader/>
        </w:trPr>
        <w:tc>
          <w:tcPr>
            <w:tcW w:type="dxa" w:w="500"/>
            <w:shd w:fill="DDEBF7" w:color="auto" w:val="clear"/>
          </w:tcPr>
          <w:p>
            <w:pPr>
              <w:jc w:val="left"/>
            </w:pPr>
            <w:r>
              <w:rPr>
                <w:b/>
                <w:bCs/>
              </w:rPr>
              <w:t xml:space="preserve">#</w:t>
            </w:r>
          </w:p>
        </w:tc>
        <w:tc>
          <w:tcPr>
            <w:tcW w:type="dxa" w:w="4700"/>
            <w:shd w:fill="DDEBF7" w:color="auto" w:val="clear"/>
          </w:tcPr>
          <w:p>
            <w:pPr>
              <w:jc w:val="left"/>
            </w:pPr>
            <w:r>
              <w:rPr>
                <w:b/>
                <w:bCs/>
              </w:rPr>
              <w:t xml:space="preserve">Finding</w:t>
            </w:r>
          </w:p>
        </w:tc>
        <w:tc>
          <w:tcPr>
            <w:tcW w:type="dxa" w:w="1400"/>
            <w:shd w:fill="DDEBF7" w:color="auto" w:val="clear"/>
          </w:tcPr>
          <w:p>
            <w:pPr>
              <w:jc w:val="left"/>
            </w:pPr>
            <w:r>
              <w:rPr>
                <w:b/>
                <w:bCs/>
              </w:rPr>
              <w:t xml:space="preserve">Severity</w:t>
            </w:r>
          </w:p>
        </w:tc>
        <w:tc>
          <w:tcPr>
            <w:tcW w:type="dxa" w:w="2750"/>
            <w:shd w:fill="DDEBF7" w:color="auto" w:val="clear"/>
          </w:tcPr>
          <w:p>
            <w:pPr>
              <w:jc w:val="left"/>
            </w:pPr>
            <w:r>
              <w:rPr>
                <w:b/>
                <w:bCs/>
              </w:rPr>
              <w:t xml:space="preserve">Resolution</w:t>
            </w:r>
          </w:p>
        </w:tc>
      </w:tr>
      <w:tr>
        <w:tc>
          <w:tcPr>
            <w:tcW w:type="dxa" w:w="500"/>
          </w:tcPr>
          <w:p>
            <w:pPr>
              <w:jc w:val="left"/>
            </w:pPr>
            <w:r>
              <w:rPr>
                <w:b w:val="false"/>
                <w:bCs w:val="false"/>
              </w:rPr>
              <w:t xml:space="preserve">1</w:t>
            </w:r>
          </w:p>
        </w:tc>
        <w:tc>
          <w:tcPr>
            <w:tcW w:type="dxa" w:w="4700"/>
          </w:tcPr>
          <w:p>
            <w:pPr>
              <w:jc w:val="left"/>
            </w:pPr>
            <w:r>
              <w:rPr>
                <w:b w:val="false"/>
                <w:bCs w:val="false"/>
              </w:rPr>
              <w:t xml:space="preserve">Raw model output could be negative for very fast/low-workload jobs (e.g. −9 minutes).</w:t>
            </w:r>
          </w:p>
        </w:tc>
        <w:tc>
          <w:tcPr>
            <w:tcW w:type="dxa" w:w="1400"/>
          </w:tcPr>
          <w:p>
            <w:pPr>
              <w:jc w:val="left"/>
            </w:pPr>
            <w:r>
              <w:rPr>
                <w:b w:val="false"/>
                <w:bCs w:val="false"/>
              </w:rPr>
              <w:t xml:space="preserve">High</w:t>
            </w:r>
          </w:p>
        </w:tc>
        <w:tc>
          <w:tcPr>
            <w:tcW w:type="dxa" w:w="2750"/>
          </w:tcPr>
          <w:p>
            <w:pPr>
              <w:jc w:val="left"/>
            </w:pPr>
            <w:r>
              <w:rPr>
                <w:b w:val="false"/>
                <w:bCs w:val="false"/>
              </w:rPr>
              <w:t xml:space="preserve">Predictions clamped to a 5-minute practical floor.</w:t>
            </w:r>
          </w:p>
        </w:tc>
      </w:tr>
      <w:tr>
        <w:tc>
          <w:tcPr>
            <w:tcW w:type="dxa" w:w="500"/>
          </w:tcPr>
          <w:p>
            <w:pPr>
              <w:jc w:val="left"/>
            </w:pPr>
            <w:r>
              <w:rPr>
                <w:b w:val="false"/>
                <w:bCs w:val="false"/>
              </w:rPr>
              <w:t xml:space="preserve">2</w:t>
            </w:r>
          </w:p>
        </w:tc>
        <w:tc>
          <w:tcPr>
            <w:tcW w:type="dxa" w:w="4700"/>
          </w:tcPr>
          <w:p>
            <w:pPr>
              <w:jc w:val="left"/>
            </w:pPr>
            <w:r>
              <w:rPr>
                <w:b w:val="false"/>
                <w:bCs w:val="false"/>
              </w:rPr>
              <w:t xml:space="preserve">Long estimates (e.g. 229 minutes) displayed unreadably as raw minutes.</w:t>
            </w:r>
          </w:p>
        </w:tc>
        <w:tc>
          <w:tcPr>
            <w:tcW w:type="dxa" w:w="1400"/>
          </w:tcPr>
          <w:p>
            <w:pPr>
              <w:jc w:val="left"/>
            </w:pPr>
            <w:r>
              <w:rPr>
                <w:b w:val="false"/>
                <w:bCs w:val="false"/>
              </w:rPr>
              <w:t xml:space="preserve">Medium</w:t>
            </w:r>
          </w:p>
        </w:tc>
        <w:tc>
          <w:tcPr>
            <w:tcW w:type="dxa" w:w="2750"/>
          </w:tcPr>
          <w:p>
            <w:pPr>
              <w:jc w:val="left"/>
            </w:pPr>
            <w:r>
              <w:rPr>
                <w:b w:val="false"/>
                <w:bCs w:val="false"/>
              </w:rPr>
              <w:t xml:space="preserve">Added hour/minute formatting across the app.</w:t>
            </w:r>
          </w:p>
        </w:tc>
      </w:tr>
    </w:tbl>
    <w:p>
      <w:pPr>
        <w:spacing w:after="160"/>
      </w:pPr>
      <w:r>
        <w:t xml:space="preserve"/>
      </w:r>
    </w:p>
    <w:p>
      <w:pPr>
        <w:spacing w:after="160"/>
      </w:pPr>
      <w:r>
        <w:t xml:space="preserve">Known limitations flagged (not fixed, documented for transparency): the ±20-minute uncertainty band is a flat margin, not a statistically calibrated interval; “reported issue” was folded into “service type” for scope reasons. Full findings in docs/qa-findings.md.</w:t>
      </w:r>
    </w:p>
    <w:p>
      <w:r>
        <w:br w:type="page"/>
      </w:r>
    </w:p>
    <w:p>
      <w:pPr>
        <w:pStyle w:val="Heading1"/>
        <w:spacing w:after="120" w:before="240"/>
      </w:pPr>
      <w:r>
        <w:t xml:space="preserve">5. Simulated Validation Study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FF3CD" w:color="auto" w:val="clear"/>
            <w:tcMar>
              <w:top w:type="dxa" w:w="120"/>
              <w:left w:type="dxa" w:w="120"/>
              <w:bottom w:type="dxa" w:w="120"/>
              <w:right w:type="dxa" w:w="120"/>
            </w:tcMar>
          </w:tcPr>
          <w:p>
            <w:r>
              <w:rPr>
                <w:b/>
                <w:bCs/>
                <w:color w:val="856404"/>
              </w:rPr>
              <w:t xml:space="preserve">SIMULATED / DEMONSTRATION DATA — NOT REAL USER TESTING. Real user testing was not conducted for this project. Every persona below is hypothetical and every number is generated by a seeded, documented script (src/simulate_validation.py), not collected from a real person. See docs/validation-approach.md for full rationale.</w:t>
            </w:r>
          </w:p>
        </w:tc>
      </w:tr>
    </w:tbl>
    <w:p>
      <w:pPr>
        <w:spacing w:after="160"/>
      </w:pPr>
      <w:r>
        <w:t xml:space="preserve"/>
      </w:r>
    </w:p>
    <w:p>
      <w:pPr>
        <w:spacing w:after="160"/>
      </w:pPr>
      <w:r>
        <w:t xml:space="preserve">A simulated validation study was produced instead of real user testing, to demonstrate the validation methodology and the kind of analysis it would produce. This section does not show that real customers would respond this way — it demonstrates method, not empirical findings about human behaviour. The original real-testing protocol (tester instructions, tasks, questions, and a blank measurement sheet) is retained, unfilled, in docs/testing-protocol.md in case real testing becomes possible later.</w:t>
      </w:r>
    </w:p>
    <w:p>
      <w:pPr>
        <w:pStyle w:val="Heading2"/>
        <w:spacing w:after="120" w:before="240"/>
      </w:pPr>
      <w:r>
        <w:t xml:space="preserve">5.1 Hypothetical Personas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5850"/>
      </w:tblGrid>
      <w:tr>
        <w:trPr>
          <w:tblHeader/>
        </w:trPr>
        <w:tc>
          <w:tcPr>
            <w:tcW w:type="dxa" w:w="700"/>
            <w:shd w:fill="DDEBF7" w:color="auto" w:val="clear"/>
          </w:tcPr>
          <w:p>
            <w:pPr>
              <w:jc w:val="left"/>
            </w:pPr>
            <w:r>
              <w:rPr>
                <w:b/>
                <w:bCs/>
              </w:rPr>
              <w:t xml:space="preserve">ID</w:t>
            </w:r>
          </w:p>
        </w:tc>
        <w:tc>
          <w:tcPr>
            <w:tcW w:type="dxa" w:w="2800"/>
            <w:shd w:fill="DDEBF7" w:color="auto" w:val="clear"/>
          </w:tcPr>
          <w:p>
            <w:pPr>
              <w:jc w:val="left"/>
            </w:pPr>
            <w:r>
              <w:rPr>
                <w:b/>
                <w:bCs/>
              </w:rPr>
              <w:t xml:space="preserve">Persona</w:t>
            </w:r>
          </w:p>
        </w:tc>
        <w:tc>
          <w:tcPr>
            <w:tcW w:type="dxa" w:w="5850"/>
            <w:shd w:fill="DDEBF7" w:color="auto" w:val="clear"/>
          </w:tcPr>
          <w:p>
            <w:pPr>
              <w:jc w:val="left"/>
            </w:pPr>
            <w:r>
              <w:rPr>
                <w:b/>
                <w:bCs/>
              </w:rPr>
              <w:t xml:space="preserve">Profile</w:t>
            </w:r>
          </w:p>
        </w:tc>
      </w:tr>
      <w:tr>
        <w:tc>
          <w:tcPr>
            <w:tcW w:type="dxa" w:w="700"/>
          </w:tcPr>
          <w:p>
            <w:pPr>
              <w:jc w:val="left"/>
            </w:pPr>
            <w:r>
              <w:rPr>
                <w:b w:val="false"/>
                <w:bCs w:val="false"/>
              </w:rPr>
              <w:t xml:space="preserve">P1</w:t>
            </w:r>
          </w:p>
        </w:tc>
        <w:tc>
          <w:tcPr>
            <w:tcW w:type="dxa" w:w="2800"/>
          </w:tcPr>
          <w:p>
            <w:pPr>
              <w:jc w:val="left"/>
            </w:pPr>
            <w:r>
              <w:rPr>
                <w:b w:val="false"/>
                <w:bCs w:val="false"/>
              </w:rPr>
              <w:t xml:space="preserve">Rushed Professional</w:t>
            </w:r>
          </w:p>
        </w:tc>
        <w:tc>
          <w:tcPr>
            <w:tcW w:type="dxa" w:w="5850"/>
          </w:tcPr>
          <w:p>
            <w:pPr>
              <w:jc w:val="left"/>
            </w:pPr>
            <w:r>
              <w:rPr>
                <w:b w:val="false"/>
                <w:bCs w:val="false"/>
              </w:rPr>
              <w:t xml:space="preserve">Office worker on a lunch break, low patience, values speed over detail.</w:t>
            </w:r>
          </w:p>
        </w:tc>
      </w:tr>
      <w:tr>
        <w:tc>
          <w:tcPr>
            <w:tcW w:type="dxa" w:w="700"/>
          </w:tcPr>
          <w:p>
            <w:pPr>
              <w:jc w:val="left"/>
            </w:pPr>
            <w:r>
              <w:rPr>
                <w:b w:val="false"/>
                <w:bCs w:val="false"/>
              </w:rPr>
              <w:t xml:space="preserve">P2</w:t>
            </w:r>
          </w:p>
        </w:tc>
        <w:tc>
          <w:tcPr>
            <w:tcW w:type="dxa" w:w="2800"/>
          </w:tcPr>
          <w:p>
            <w:pPr>
              <w:jc w:val="left"/>
            </w:pPr>
            <w:r>
              <w:rPr>
                <w:b w:val="false"/>
                <w:bCs w:val="false"/>
              </w:rPr>
              <w:t xml:space="preserve">Budget-Conscious Student</w:t>
            </w:r>
          </w:p>
        </w:tc>
        <w:tc>
          <w:tcPr>
            <w:tcW w:type="dxa" w:w="5850"/>
          </w:tcPr>
          <w:p>
            <w:pPr>
              <w:jc w:val="left"/>
            </w:pPr>
            <w:r>
              <w:rPr>
                <w:b w:val="false"/>
                <w:bCs w:val="false"/>
              </w:rPr>
              <w:t xml:space="preserve">College student, comfortable with apps, plans around class timing.</w:t>
            </w:r>
          </w:p>
        </w:tc>
      </w:tr>
      <w:tr>
        <w:tc>
          <w:tcPr>
            <w:tcW w:type="dxa" w:w="700"/>
          </w:tcPr>
          <w:p>
            <w:pPr>
              <w:jc w:val="left"/>
            </w:pPr>
            <w:r>
              <w:rPr>
                <w:b w:val="false"/>
                <w:bCs w:val="false"/>
              </w:rPr>
              <w:t xml:space="preserve">P3</w:t>
            </w:r>
          </w:p>
        </w:tc>
        <w:tc>
          <w:tcPr>
            <w:tcW w:type="dxa" w:w="2800"/>
          </w:tcPr>
          <w:p>
            <w:pPr>
              <w:jc w:val="left"/>
            </w:pPr>
            <w:r>
              <w:rPr>
                <w:b w:val="false"/>
                <w:bCs w:val="false"/>
              </w:rPr>
              <w:t xml:space="preserve">Cautious Parent</w:t>
            </w:r>
          </w:p>
        </w:tc>
        <w:tc>
          <w:tcPr>
            <w:tcW w:type="dxa" w:w="5850"/>
          </w:tcPr>
          <w:p>
            <w:pPr>
              <w:jc w:val="left"/>
            </w:pPr>
            <w:r>
              <w:rPr>
                <w:b w:val="false"/>
                <w:bCs w:val="false"/>
              </w:rPr>
              <w:t xml:space="preserve">Handling a child's warranty claim, lower tech familiarity, wants reassurance.</w:t>
            </w:r>
          </w:p>
        </w:tc>
      </w:tr>
      <w:tr>
        <w:tc>
          <w:tcPr>
            <w:tcW w:type="dxa" w:w="700"/>
          </w:tcPr>
          <w:p>
            <w:pPr>
              <w:jc w:val="left"/>
            </w:pPr>
            <w:r>
              <w:rPr>
                <w:b w:val="false"/>
                <w:bCs w:val="false"/>
              </w:rPr>
              <w:t xml:space="preserve">P4</w:t>
            </w:r>
          </w:p>
        </w:tc>
        <w:tc>
          <w:tcPr>
            <w:tcW w:type="dxa" w:w="2800"/>
          </w:tcPr>
          <w:p>
            <w:pPr>
              <w:jc w:val="left"/>
            </w:pPr>
            <w:r>
              <w:rPr>
                <w:b w:val="false"/>
                <w:bCs w:val="false"/>
              </w:rPr>
              <w:t xml:space="preserve">Skeptical Repeat Customer</w:t>
            </w:r>
          </w:p>
        </w:tc>
        <w:tc>
          <w:tcPr>
            <w:tcW w:type="dxa" w:w="5850"/>
          </w:tcPr>
          <w:p>
            <w:pPr>
              <w:jc w:val="left"/>
            </w:pPr>
            <w:r>
              <w:rPr>
                <w:b w:val="false"/>
                <w:bCs w:val="false"/>
              </w:rPr>
              <w:t xml:space="preserve">Has used the shop before with no prediction tool; doubts a system can estimate this well.</w:t>
            </w:r>
          </w:p>
        </w:tc>
      </w:tr>
      <w:tr>
        <w:tc>
          <w:tcPr>
            <w:tcW w:type="dxa" w:w="700"/>
          </w:tcPr>
          <w:p>
            <w:pPr>
              <w:jc w:val="left"/>
            </w:pPr>
            <w:r>
              <w:rPr>
                <w:b w:val="false"/>
                <w:bCs w:val="false"/>
              </w:rPr>
              <w:t xml:space="preserve">P5</w:t>
            </w:r>
          </w:p>
        </w:tc>
        <w:tc>
          <w:tcPr>
            <w:tcW w:type="dxa" w:w="2800"/>
          </w:tcPr>
          <w:p>
            <w:pPr>
              <w:jc w:val="left"/>
            </w:pPr>
            <w:r>
              <w:rPr>
                <w:b w:val="false"/>
                <w:bCs w:val="false"/>
              </w:rPr>
              <w:t xml:space="preserve">First-Time Warranty Claimant</w:t>
            </w:r>
          </w:p>
        </w:tc>
        <w:tc>
          <w:tcPr>
            <w:tcW w:type="dxa" w:w="5850"/>
          </w:tcPr>
          <w:p>
            <w:pPr>
              <w:jc w:val="left"/>
            </w:pPr>
            <w:r>
              <w:rPr>
                <w:b w:val="false"/>
                <w:bCs w:val="false"/>
              </w:rPr>
              <w:t xml:space="preserve">Unfamiliar with the warranty process, wants terms explained clearly.</w:t>
            </w:r>
          </w:p>
        </w:tc>
      </w:tr>
    </w:tbl>
    <w:p>
      <w:pPr>
        <w:spacing w:after="160"/>
      </w:pPr>
      <w:r>
        <w:t xml:space="preserve"/>
      </w:r>
    </w:p>
    <w:p>
      <w:pPr>
        <w:pStyle w:val="Heading2"/>
        <w:spacing w:after="120" w:before="240"/>
      </w:pPr>
      <w:r>
        <w:t xml:space="preserve">5.2 Simulated Results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1300"/>
        <w:gridCol w:w="1150"/>
        <w:gridCol w:w="1000"/>
        <w:gridCol w:w="1200"/>
        <w:gridCol w:w="900"/>
        <w:gridCol w:w="1150"/>
      </w:tblGrid>
      <w:tr>
        <w:trPr>
          <w:tblHeader/>
        </w:trPr>
        <w:tc>
          <w:tcPr>
            <w:tcW w:type="dxa" w:w="2650"/>
            <w:shd w:fill="DDEBF7" w:color="auto" w:val="clear"/>
          </w:tcPr>
          <w:p>
            <w:pPr>
              <w:jc w:val="left"/>
            </w:pPr>
            <w:r>
              <w:rPr>
                <w:b/>
                <w:bCs/>
              </w:rPr>
              <w:t xml:space="preserve">Persona</w:t>
            </w:r>
          </w:p>
        </w:tc>
        <w:tc>
          <w:tcPr>
            <w:tcW w:type="dxa" w:w="1300"/>
            <w:shd w:fill="DDEBF7" w:color="auto" w:val="clear"/>
          </w:tcPr>
          <w:p>
            <w:pPr>
              <w:jc w:val="left"/>
            </w:pPr>
            <w:r>
              <w:rPr>
                <w:b/>
                <w:bCs/>
              </w:rPr>
              <w:t xml:space="preserve">Task Success</w:t>
            </w:r>
          </w:p>
        </w:tc>
        <w:tc>
          <w:tcPr>
            <w:tcW w:type="dxa" w:w="1150"/>
            <w:shd w:fill="DDEBF7" w:color="auto" w:val="clear"/>
          </w:tcPr>
          <w:p>
            <w:pPr>
              <w:jc w:val="left"/>
            </w:pPr>
            <w:r>
              <w:rPr>
                <w:b/>
                <w:bCs/>
              </w:rPr>
              <w:t xml:space="preserve">Ease of Use</w:t>
            </w:r>
          </w:p>
        </w:tc>
        <w:tc>
          <w:tcPr>
            <w:tcW w:type="dxa" w:w="1000"/>
            <w:shd w:fill="DDEBF7" w:color="auto" w:val="clear"/>
          </w:tcPr>
          <w:p>
            <w:pPr>
              <w:jc w:val="left"/>
            </w:pPr>
            <w:r>
              <w:rPr>
                <w:b/>
                <w:bCs/>
              </w:rPr>
              <w:t xml:space="preserve">Clarity</w:t>
            </w:r>
          </w:p>
        </w:tc>
        <w:tc>
          <w:tcPr>
            <w:tcW w:type="dxa" w:w="1200"/>
            <w:shd w:fill="DDEBF7" w:color="auto" w:val="clear"/>
          </w:tcPr>
          <w:p>
            <w:pPr>
              <w:jc w:val="left"/>
            </w:pPr>
            <w:r>
              <w:rPr>
                <w:b/>
                <w:bCs/>
              </w:rPr>
              <w:t xml:space="preserve">Usefulness</w:t>
            </w:r>
          </w:p>
        </w:tc>
        <w:tc>
          <w:tcPr>
            <w:tcW w:type="dxa" w:w="900"/>
            <w:shd w:fill="DDEBF7" w:color="auto" w:val="clear"/>
          </w:tcPr>
          <w:p>
            <w:pPr>
              <w:jc w:val="left"/>
            </w:pPr>
            <w:r>
              <w:rPr>
                <w:b/>
                <w:bCs/>
              </w:rPr>
              <w:t xml:space="preserve">Trust</w:t>
            </w:r>
          </w:p>
        </w:tc>
        <w:tc>
          <w:tcPr>
            <w:tcW w:type="dxa" w:w="1150"/>
            <w:shd w:fill="DDEBF7" w:color="auto" w:val="clear"/>
          </w:tcPr>
          <w:p>
            <w:pPr>
              <w:jc w:val="left"/>
            </w:pPr>
            <w:r>
              <w:rPr>
                <w:b/>
                <w:bCs/>
              </w:rPr>
              <w:t xml:space="preserve">Willingness</w:t>
            </w:r>
          </w:p>
        </w:tc>
      </w:tr>
      <w:tr>
        <w:tc>
          <w:tcPr>
            <w:tcW w:type="dxa" w:w="2650"/>
          </w:tcPr>
          <w:p>
            <w:pPr>
              <w:jc w:val="left"/>
            </w:pPr>
            <w:r>
              <w:rPr>
                <w:b w:val="false"/>
                <w:bCs w:val="false"/>
              </w:rPr>
              <w:t xml:space="preserve">P1 Rushed Professional</w:t>
            </w:r>
          </w:p>
        </w:tc>
        <w:tc>
          <w:tcPr>
            <w:tcW w:type="dxa" w:w="1300"/>
          </w:tcPr>
          <w:p>
            <w:pPr>
              <w:jc w:val="left"/>
            </w:pPr>
            <w:r>
              <w:rPr>
                <w:b w:val="false"/>
                <w:bCs w:val="false"/>
              </w:rPr>
              <w:t xml:space="preserve">Yes</w:t>
            </w:r>
          </w:p>
        </w:tc>
        <w:tc>
          <w:tcPr>
            <w:tcW w:type="dxa" w:w="1150"/>
          </w:tcPr>
          <w:p>
            <w:pPr>
              <w:jc w:val="left"/>
            </w:pPr>
            <w:r>
              <w:rPr>
                <w:b w:val="false"/>
                <w:bCs w:val="false"/>
              </w:rPr>
              <w:t xml:space="preserve">4</w:t>
            </w:r>
          </w:p>
        </w:tc>
        <w:tc>
          <w:tcPr>
            <w:tcW w:type="dxa" w:w="1000"/>
          </w:tcPr>
          <w:p>
            <w:pPr>
              <w:jc w:val="left"/>
            </w:pPr>
            <w:r>
              <w:rPr>
                <w:b w:val="false"/>
                <w:bCs w:val="false"/>
              </w:rPr>
              <w:t xml:space="preserve">4</w:t>
            </w:r>
          </w:p>
        </w:tc>
        <w:tc>
          <w:tcPr>
            <w:tcW w:type="dxa" w:w="1200"/>
          </w:tcPr>
          <w:p>
            <w:pPr>
              <w:jc w:val="left"/>
            </w:pPr>
            <w:r>
              <w:rPr>
                <w:b w:val="false"/>
                <w:bCs w:val="false"/>
              </w:rPr>
              <w:t xml:space="preserve">4</w:t>
            </w:r>
          </w:p>
        </w:tc>
        <w:tc>
          <w:tcPr>
            <w:tcW w:type="dxa" w:w="900"/>
          </w:tcPr>
          <w:p>
            <w:pPr>
              <w:jc w:val="left"/>
            </w:pPr>
            <w:r>
              <w:rPr>
                <w:b w:val="false"/>
                <w:bCs w:val="false"/>
              </w:rPr>
              <w:t xml:space="preserve">3</w:t>
            </w:r>
          </w:p>
        </w:tc>
        <w:tc>
          <w:tcPr>
            <w:tcW w:type="dxa" w:w="1150"/>
          </w:tcPr>
          <w:p>
            <w:pPr>
              <w:jc w:val="left"/>
            </w:pPr>
            <w:r>
              <w:rPr>
                <w:b w:val="false"/>
                <w:bCs w:val="false"/>
              </w:rPr>
              <w:t xml:space="preserve">3</w:t>
            </w:r>
          </w:p>
        </w:tc>
      </w:tr>
      <w:tr>
        <w:tc>
          <w:tcPr>
            <w:tcW w:type="dxa" w:w="2650"/>
          </w:tcPr>
          <w:p>
            <w:pPr>
              <w:jc w:val="left"/>
            </w:pPr>
            <w:r>
              <w:rPr>
                <w:b w:val="false"/>
                <w:bCs w:val="false"/>
              </w:rPr>
              <w:t xml:space="preserve">P2 Budget-Conscious Student</w:t>
            </w:r>
          </w:p>
        </w:tc>
        <w:tc>
          <w:tcPr>
            <w:tcW w:type="dxa" w:w="1300"/>
          </w:tcPr>
          <w:p>
            <w:pPr>
              <w:jc w:val="left"/>
            </w:pPr>
            <w:r>
              <w:rPr>
                <w:b w:val="false"/>
                <w:bCs w:val="false"/>
              </w:rPr>
              <w:t xml:space="preserve">Yes</w:t>
            </w:r>
          </w:p>
        </w:tc>
        <w:tc>
          <w:tcPr>
            <w:tcW w:type="dxa" w:w="1150"/>
          </w:tcPr>
          <w:p>
            <w:pPr>
              <w:jc w:val="left"/>
            </w:pPr>
            <w:r>
              <w:rPr>
                <w:b w:val="false"/>
                <w:bCs w:val="false"/>
              </w:rPr>
              <w:t xml:space="preserve">4</w:t>
            </w:r>
          </w:p>
        </w:tc>
        <w:tc>
          <w:tcPr>
            <w:tcW w:type="dxa" w:w="1000"/>
          </w:tcPr>
          <w:p>
            <w:pPr>
              <w:jc w:val="left"/>
            </w:pPr>
            <w:r>
              <w:rPr>
                <w:b w:val="false"/>
                <w:bCs w:val="false"/>
              </w:rPr>
              <w:t xml:space="preserve">4</w:t>
            </w:r>
          </w:p>
        </w:tc>
        <w:tc>
          <w:tcPr>
            <w:tcW w:type="dxa" w:w="1200"/>
          </w:tcPr>
          <w:p>
            <w:pPr>
              <w:jc w:val="left"/>
            </w:pPr>
            <w:r>
              <w:rPr>
                <w:b w:val="false"/>
                <w:bCs w:val="false"/>
              </w:rPr>
              <w:t xml:space="preserve">4</w:t>
            </w:r>
          </w:p>
        </w:tc>
        <w:tc>
          <w:tcPr>
            <w:tcW w:type="dxa" w:w="900"/>
          </w:tcPr>
          <w:p>
            <w:pPr>
              <w:jc w:val="left"/>
            </w:pPr>
            <w:r>
              <w:rPr>
                <w:b w:val="false"/>
                <w:bCs w:val="false"/>
              </w:rPr>
              <w:t xml:space="preserve">4</w:t>
            </w:r>
          </w:p>
        </w:tc>
        <w:tc>
          <w:tcPr>
            <w:tcW w:type="dxa" w:w="1150"/>
          </w:tcPr>
          <w:p>
            <w:pPr>
              <w:jc w:val="left"/>
            </w:pPr>
            <w:r>
              <w:rPr>
                <w:b w:val="false"/>
                <w:bCs w:val="false"/>
              </w:rPr>
              <w:t xml:space="preserve">5</w:t>
            </w:r>
          </w:p>
        </w:tc>
      </w:tr>
      <w:tr>
        <w:tc>
          <w:tcPr>
            <w:tcW w:type="dxa" w:w="2650"/>
          </w:tcPr>
          <w:p>
            <w:pPr>
              <w:jc w:val="left"/>
            </w:pPr>
            <w:r>
              <w:rPr>
                <w:b w:val="false"/>
                <w:bCs w:val="false"/>
              </w:rPr>
              <w:t xml:space="preserve">P3 Cautious Parent</w:t>
            </w:r>
          </w:p>
        </w:tc>
        <w:tc>
          <w:tcPr>
            <w:tcW w:type="dxa" w:w="1300"/>
          </w:tcPr>
          <w:p>
            <w:pPr>
              <w:jc w:val="left"/>
            </w:pPr>
            <w:r>
              <w:rPr>
                <w:b w:val="false"/>
                <w:bCs w:val="false"/>
              </w:rPr>
              <w:t xml:space="preserve">No</w:t>
            </w:r>
          </w:p>
        </w:tc>
        <w:tc>
          <w:tcPr>
            <w:tcW w:type="dxa" w:w="1150"/>
          </w:tcPr>
          <w:p>
            <w:pPr>
              <w:jc w:val="left"/>
            </w:pPr>
            <w:r>
              <w:rPr>
                <w:b w:val="false"/>
                <w:bCs w:val="false"/>
              </w:rPr>
              <w:t xml:space="preserve">4</w:t>
            </w:r>
          </w:p>
        </w:tc>
        <w:tc>
          <w:tcPr>
            <w:tcW w:type="dxa" w:w="1000"/>
          </w:tcPr>
          <w:p>
            <w:pPr>
              <w:jc w:val="left"/>
            </w:pPr>
            <w:r>
              <w:rPr>
                <w:b w:val="false"/>
                <w:bCs w:val="false"/>
              </w:rPr>
              <w:t xml:space="preserve">3</w:t>
            </w:r>
          </w:p>
        </w:tc>
        <w:tc>
          <w:tcPr>
            <w:tcW w:type="dxa" w:w="1200"/>
          </w:tcPr>
          <w:p>
            <w:pPr>
              <w:jc w:val="left"/>
            </w:pPr>
            <w:r>
              <w:rPr>
                <w:b w:val="false"/>
                <w:bCs w:val="false"/>
              </w:rPr>
              <w:t xml:space="preserve">3</w:t>
            </w:r>
          </w:p>
        </w:tc>
        <w:tc>
          <w:tcPr>
            <w:tcW w:type="dxa" w:w="900"/>
          </w:tcPr>
          <w:p>
            <w:pPr>
              <w:jc w:val="left"/>
            </w:pPr>
            <w:r>
              <w:rPr>
                <w:b w:val="false"/>
                <w:bCs w:val="false"/>
              </w:rPr>
              <w:t xml:space="preserve">2</w:t>
            </w:r>
          </w:p>
        </w:tc>
        <w:tc>
          <w:tcPr>
            <w:tcW w:type="dxa" w:w="1150"/>
          </w:tcPr>
          <w:p>
            <w:pPr>
              <w:jc w:val="left"/>
            </w:pPr>
            <w:r>
              <w:rPr>
                <w:b w:val="false"/>
                <w:bCs w:val="false"/>
              </w:rPr>
              <w:t xml:space="preserve">2</w:t>
            </w:r>
          </w:p>
        </w:tc>
      </w:tr>
      <w:tr>
        <w:tc>
          <w:tcPr>
            <w:tcW w:type="dxa" w:w="2650"/>
          </w:tcPr>
          <w:p>
            <w:pPr>
              <w:jc w:val="left"/>
            </w:pPr>
            <w:r>
              <w:rPr>
                <w:b w:val="false"/>
                <w:bCs w:val="false"/>
              </w:rPr>
              <w:t xml:space="preserve">P4 Skeptical Repeat Customer</w:t>
            </w:r>
          </w:p>
        </w:tc>
        <w:tc>
          <w:tcPr>
            <w:tcW w:type="dxa" w:w="1300"/>
          </w:tcPr>
          <w:p>
            <w:pPr>
              <w:jc w:val="left"/>
            </w:pPr>
            <w:r>
              <w:rPr>
                <w:b w:val="false"/>
                <w:bCs w:val="false"/>
              </w:rPr>
              <w:t xml:space="preserve">Yes</w:t>
            </w:r>
          </w:p>
        </w:tc>
        <w:tc>
          <w:tcPr>
            <w:tcW w:type="dxa" w:w="1150"/>
          </w:tcPr>
          <w:p>
            <w:pPr>
              <w:jc w:val="left"/>
            </w:pPr>
            <w:r>
              <w:rPr>
                <w:b w:val="false"/>
                <w:bCs w:val="false"/>
              </w:rPr>
              <w:t xml:space="preserve">5</w:t>
            </w:r>
          </w:p>
        </w:tc>
        <w:tc>
          <w:tcPr>
            <w:tcW w:type="dxa" w:w="1000"/>
          </w:tcPr>
          <w:p>
            <w:pPr>
              <w:jc w:val="left"/>
            </w:pPr>
            <w:r>
              <w:rPr>
                <w:b w:val="false"/>
                <w:bCs w:val="false"/>
              </w:rPr>
              <w:t xml:space="preserve">4</w:t>
            </w:r>
          </w:p>
        </w:tc>
        <w:tc>
          <w:tcPr>
            <w:tcW w:type="dxa" w:w="1200"/>
          </w:tcPr>
          <w:p>
            <w:pPr>
              <w:jc w:val="left"/>
            </w:pPr>
            <w:r>
              <w:rPr>
                <w:b w:val="false"/>
                <w:bCs w:val="false"/>
              </w:rPr>
              <w:t xml:space="preserve">3</w:t>
            </w:r>
          </w:p>
        </w:tc>
        <w:tc>
          <w:tcPr>
            <w:tcW w:type="dxa" w:w="900"/>
          </w:tcPr>
          <w:p>
            <w:pPr>
              <w:jc w:val="left"/>
            </w:pPr>
            <w:r>
              <w:rPr>
                <w:b w:val="false"/>
                <w:bCs w:val="false"/>
              </w:rPr>
              <w:t xml:space="preserve">3</w:t>
            </w:r>
          </w:p>
        </w:tc>
        <w:tc>
          <w:tcPr>
            <w:tcW w:type="dxa" w:w="1150"/>
          </w:tcPr>
          <w:p>
            <w:pPr>
              <w:jc w:val="left"/>
            </w:pPr>
            <w:r>
              <w:rPr>
                <w:b w:val="false"/>
                <w:bCs w:val="false"/>
              </w:rPr>
              <w:t xml:space="preserve">3</w:t>
            </w:r>
          </w:p>
        </w:tc>
      </w:tr>
      <w:tr>
        <w:tc>
          <w:tcPr>
            <w:tcW w:type="dxa" w:w="2650"/>
          </w:tcPr>
          <w:p>
            <w:pPr>
              <w:jc w:val="left"/>
            </w:pPr>
            <w:r>
              <w:rPr>
                <w:b w:val="false"/>
                <w:bCs w:val="false"/>
              </w:rPr>
              <w:t xml:space="preserve">P5 First-Time Warranty Claimant</w:t>
            </w:r>
          </w:p>
        </w:tc>
        <w:tc>
          <w:tcPr>
            <w:tcW w:type="dxa" w:w="1300"/>
          </w:tcPr>
          <w:p>
            <w:pPr>
              <w:jc w:val="left"/>
            </w:pPr>
            <w:r>
              <w:rPr>
                <w:b w:val="false"/>
                <w:bCs w:val="false"/>
              </w:rPr>
              <w:t xml:space="preserve">Yes</w:t>
            </w:r>
          </w:p>
        </w:tc>
        <w:tc>
          <w:tcPr>
            <w:tcW w:type="dxa" w:w="1150"/>
          </w:tcPr>
          <w:p>
            <w:pPr>
              <w:jc w:val="left"/>
            </w:pPr>
            <w:r>
              <w:rPr>
                <w:b w:val="false"/>
                <w:bCs w:val="false"/>
              </w:rPr>
              <w:t xml:space="preserve">4</w:t>
            </w:r>
          </w:p>
        </w:tc>
        <w:tc>
          <w:tcPr>
            <w:tcW w:type="dxa" w:w="1000"/>
          </w:tcPr>
          <w:p>
            <w:pPr>
              <w:jc w:val="left"/>
            </w:pPr>
            <w:r>
              <w:rPr>
                <w:b w:val="false"/>
                <w:bCs w:val="false"/>
              </w:rPr>
              <w:t xml:space="preserve">5</w:t>
            </w:r>
          </w:p>
        </w:tc>
        <w:tc>
          <w:tcPr>
            <w:tcW w:type="dxa" w:w="1200"/>
          </w:tcPr>
          <w:p>
            <w:pPr>
              <w:jc w:val="left"/>
            </w:pPr>
            <w:r>
              <w:rPr>
                <w:b w:val="false"/>
                <w:bCs w:val="false"/>
              </w:rPr>
              <w:t xml:space="preserve">4</w:t>
            </w:r>
          </w:p>
        </w:tc>
        <w:tc>
          <w:tcPr>
            <w:tcW w:type="dxa" w:w="900"/>
          </w:tcPr>
          <w:p>
            <w:pPr>
              <w:jc w:val="left"/>
            </w:pPr>
            <w:r>
              <w:rPr>
                <w:b w:val="false"/>
                <w:bCs w:val="false"/>
              </w:rPr>
              <w:t xml:space="preserve">3</w:t>
            </w:r>
          </w:p>
        </w:tc>
        <w:tc>
          <w:tcPr>
            <w:tcW w:type="dxa" w:w="1150"/>
          </w:tcPr>
          <w:p>
            <w:pPr>
              <w:jc w:val="left"/>
            </w:pPr>
            <w:r>
              <w:rPr>
                <w:b w:val="false"/>
                <w:bCs w:val="false"/>
              </w:rPr>
              <w:t xml:space="preserve">4</w:t>
            </w:r>
          </w:p>
        </w:tc>
      </w:tr>
    </w:tbl>
    <w:p>
      <w:pPr>
        <w:spacing w:after="160"/>
      </w:pPr>
      <w:r>
        <w:t xml:space="preserve"/>
      </w:r>
    </w:p>
    <w:p>
      <w:pPr>
        <w:spacing w:after="160"/>
      </w:pPr>
      <w:r>
        <w:rPr>
          <w:b/>
          <w:bCs/>
        </w:rPr>
        <w:t xml:space="preserve">Aggregate across the 5 simulated personas: Ease of Use 4.2/5, Clarity 4.0/5, Usefulness 3.6/5, Trust 3.0/5, Willingness to Use 3.4/5, task success rate 4/5 (80%), mean time-to-understand 38.4 seconds.</w:t>
      </w:r>
    </w:p>
    <w:p>
      <w:pPr>
        <w:pStyle w:val="Heading2"/>
        <w:spacing w:after="120" w:before="240"/>
      </w:pPr>
      <w:r>
        <w:t xml:space="preserve">5.3 Reading the Simulated Results</w:t>
      </w:r>
    </w:p>
    <w:p>
      <w:pPr>
        <w:pStyle w:val="ListParagraph"/>
        <w:numPr>
          <w:ilvl w:val="0"/>
          <w:numId w:val="1"/>
        </w:numPr>
        <w:spacing w:after="80"/>
      </w:pPr>
      <w:r>
        <w:t xml:space="preserve">The Cautious Parent persona was the one simulated task failure and gave the lowest trust/willingness scores — consistent with how that persona was defined. This illustrates the kind of segment a real study might flag as needing clearer in-person explanation, if it turned up in real data.</w:t>
      </w:r>
    </w:p>
    <w:p>
      <w:pPr>
        <w:pStyle w:val="ListParagraph"/>
        <w:numPr>
          <w:ilvl w:val="0"/>
          <w:numId w:val="1"/>
        </w:numPr>
        <w:spacing w:after="80"/>
      </w:pPr>
      <w:r>
        <w:t xml:space="preserve">Trust (3.0/5 mean) was the lowest-scoring measure across personas — worth watching for in real testing, since low trust could reduce reliance on the estimate.</w:t>
      </w:r>
    </w:p>
    <w:p>
      <w:pPr>
        <w:pStyle w:val="ListParagraph"/>
        <w:numPr>
          <w:ilvl w:val="0"/>
          <w:numId w:val="1"/>
        </w:numPr>
        <w:spacing w:after="80"/>
      </w:pPr>
      <w:r>
        <w:t xml:space="preserve">Ease of Use scored highest (4.2/5), suggesting the form itself is not a bottleneck — again, only within this simulated demonstration.</w:t>
      </w:r>
    </w:p>
    <w:p>
      <w:pPr>
        <w:spacing w:after="160"/>
      </w:pPr>
      <w:r>
        <w:rPr>
          <w:i/>
          <w:iCs/>
        </w:rPr>
        <w:t xml:space="preserve">If real testing is performed later, results would be collected using the identical protocol in docs/testing-protocol.md and reported in a clearly separate section — never merged with this simulated section.</w:t>
      </w:r>
    </w:p>
    <w:p>
      <w:r>
        <w:br w:type="page"/>
      </w:r>
    </w:p>
    <w:p>
      <w:pPr>
        <w:pStyle w:val="Heading1"/>
        <w:spacing w:after="120" w:before="240"/>
      </w:pPr>
      <w:r>
        <w:t xml:space="preserve">6. Responsible AI Considerations</w:t>
      </w:r>
    </w:p>
    <w:p>
      <w:pPr>
        <w:pStyle w:val="ListParagraph"/>
        <w:numPr>
          <w:ilvl w:val="0"/>
          <w:numId w:val="1"/>
        </w:numPr>
        <w:spacing w:after="80"/>
      </w:pPr>
      <w:r>
        <w:t xml:space="preserve">Data minimisation: the intake form collects only what is needed to estimate service time — no names, phone numbers, or device identifiers.</w:t>
      </w:r>
    </w:p>
    <w:p>
      <w:pPr>
        <w:pStyle w:val="ListParagraph"/>
        <w:numPr>
          <w:ilvl w:val="0"/>
          <w:numId w:val="1"/>
        </w:numPr>
        <w:spacing w:after="80"/>
      </w:pPr>
      <w:r>
        <w:t xml:space="preserve">Uncertainty communication: predictions are always shown as a range with explicit “estimate, not guarantee” language, never as a fixed promise.</w:t>
      </w:r>
    </w:p>
    <w:p>
      <w:pPr>
        <w:pStyle w:val="ListParagraph"/>
        <w:numPr>
          <w:ilvl w:val="0"/>
          <w:numId w:val="1"/>
        </w:numPr>
        <w:spacing w:after="80"/>
      </w:pPr>
      <w:r>
        <w:t xml:space="preserve">Human oversight: an employee reviews and communicates every prediction and can correct input information; a human remains responsible for the final decision.</w:t>
      </w:r>
    </w:p>
    <w:p>
      <w:pPr>
        <w:pStyle w:val="ListParagraph"/>
        <w:numPr>
          <w:ilvl w:val="0"/>
          <w:numId w:val="1"/>
        </w:numPr>
        <w:spacing w:after="80"/>
      </w:pPr>
      <w:r>
        <w:t xml:space="preserve">Synthetic vs. real data: every dataset in this repository (training data and the simulated validation data) is clearly labelled as such and never presented as real-world evidence.</w:t>
      </w:r>
    </w:p>
    <w:p>
      <w:pPr>
        <w:pStyle w:val="ListParagraph"/>
        <w:numPr>
          <w:ilvl w:val="0"/>
          <w:numId w:val="1"/>
        </w:numPr>
        <w:spacing w:after="80"/>
      </w:pPr>
      <w:r>
        <w:t xml:space="preserve">Fabrication policy: no user, tester, result, quote, or metric is invented anywhere in this repository — evidence gaps are stated explicitly rather than filled in.</w:t>
      </w:r>
    </w:p>
    <w:p>
      <w:pPr>
        <w:pStyle w:val="Heading1"/>
        <w:spacing w:after="120" w:before="240"/>
      </w:pPr>
      <w:r>
        <w:t xml:space="preserve">7. Limitations &amp; Future Work</w:t>
      </w:r>
    </w:p>
    <w:p>
      <w:pPr>
        <w:pStyle w:val="Heading2"/>
        <w:spacing w:after="120" w:before="240"/>
      </w:pPr>
      <w:r>
        <w:t xml:space="preserve">7.1 Limitations</w:t>
      </w:r>
    </w:p>
    <w:p>
      <w:pPr>
        <w:pStyle w:val="ListParagraph"/>
        <w:numPr>
          <w:ilvl w:val="0"/>
          <w:numId w:val="1"/>
        </w:numPr>
        <w:spacing w:after="80"/>
      </w:pPr>
      <w:r>
        <w:t xml:space="preserve">No real-world validation: all training data and all validation-study data are synthetic/simulated.</w:t>
      </w:r>
    </w:p>
    <w:p>
      <w:pPr>
        <w:pStyle w:val="ListParagraph"/>
        <w:numPr>
          <w:ilvl w:val="0"/>
          <w:numId w:val="1"/>
        </w:numPr>
        <w:spacing w:after="80"/>
      </w:pPr>
      <w:r>
        <w:t xml:space="preserve">The displayed ±20-minute range is a fixed band, not a statistically calibrated prediction interval.</w:t>
      </w:r>
    </w:p>
    <w:p>
      <w:pPr>
        <w:pStyle w:val="ListParagraph"/>
        <w:numPr>
          <w:ilvl w:val="0"/>
          <w:numId w:val="1"/>
        </w:numPr>
        <w:spacing w:after="80"/>
      </w:pPr>
      <w:r>
        <w:t xml:space="preserve">“Reported issue” was folded into “service type” rather than kept as a separate field.</w:t>
      </w:r>
    </w:p>
    <w:p>
      <w:pPr>
        <w:pStyle w:val="ListParagraph"/>
        <w:numPr>
          <w:ilvl w:val="0"/>
          <w:numId w:val="1"/>
        </w:numPr>
        <w:spacing w:after="80"/>
      </w:pPr>
      <w:r>
        <w:t xml:space="preserve">No database, authentication, or multi-shop support — a local CSV log is sufficient for a single-shop prototype.</w:t>
      </w:r>
    </w:p>
    <w:p>
      <w:pPr>
        <w:pStyle w:val="Heading2"/>
        <w:spacing w:after="120" w:before="240"/>
      </w:pPr>
      <w:r>
        <w:t xml:space="preserve">7.2 Future Improvements</w:t>
      </w:r>
    </w:p>
    <w:p>
      <w:pPr>
        <w:pStyle w:val="ListParagraph"/>
        <w:numPr>
          <w:ilvl w:val="0"/>
          <w:numId w:val="1"/>
        </w:numPr>
        <w:spacing w:after="80"/>
      </w:pPr>
      <w:r>
        <w:t xml:space="preserve">Replace the flat uncertainty margin with a statistically grounded prediction interval (e.g. quantile regression).</w:t>
      </w:r>
    </w:p>
    <w:p>
      <w:pPr>
        <w:pStyle w:val="ListParagraph"/>
        <w:numPr>
          <w:ilvl w:val="0"/>
          <w:numId w:val="1"/>
        </w:numPr>
        <w:spacing w:after="80"/>
      </w:pPr>
      <w:r>
        <w:t xml:space="preserve">Add a distinct “reported issue” field alongside service type.</w:t>
      </w:r>
    </w:p>
    <w:p>
      <w:pPr>
        <w:pStyle w:val="ListParagraph"/>
        <w:numPr>
          <w:ilvl w:val="0"/>
          <w:numId w:val="1"/>
        </w:numPr>
        <w:spacing w:after="80"/>
      </w:pPr>
      <w:r>
        <w:t xml:space="preserve">If real historical service data or real testers become available, retrain the model and run the retained real-testing protocol, reporting results separately from this simulated study.</w:t>
      </w:r>
    </w:p>
    <w:p>
      <w:pPr>
        <w:pStyle w:val="Heading1"/>
        <w:spacing w:after="120" w:before="240"/>
      </w:pPr>
      <w:r>
        <w:t xml:space="preserve">8. Repository &amp; Reproducibility</w:t>
      </w:r>
    </w:p>
    <w:p>
      <w:pPr>
        <w:spacing w:after="160"/>
      </w:pPr>
      <w:r>
        <w:t xml:space="preserve">Public repository: https://github.com/SureshAPI/AI-Powered-Wait-Time-Predictor</w:t>
      </w:r>
    </w:p>
    <w:p>
      <w:pPr>
        <w:spacing w:after="160"/>
      </w:pPr>
      <w:r>
        <w:t xml:space="preserve">Key paths: src/ (data generation, preprocessing, baseline, GBR model, training), app/ (Flask prototype and job store), tests/ (automated tests), docs/ (architecture, methodology, QA findings, validation approach and study, testing protocol, responsible AI), data/ (synthetic datasets and schemas, clearly labelled).</w:t>
      </w:r>
    </w:p>
    <w:p>
      <w:pPr>
        <w:spacing w:after="160"/>
      </w:pPr>
      <w:r>
        <w:t xml:space="preserve">To run: pip install -r requirements.txt; python src/generate_synthetic_data.py; python -m pytest tests/ -v; python app/app.py, then open http://127.0.0.1:5000/.</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2026-09-15T07:23:36.193Z</dcterms:created>
  <dcterms:modified xsi:type="dcterms:W3CDTF">2026-09-15T07:23:36.194Z</dcterms:modified>
</cp:coreProperties>
</file>

<file path=docProps/custom.xml><?xml version="1.0" encoding="utf-8"?>
<Properties xmlns="http://schemas.openxmlformats.org/officeDocument/2006/custom-properties" xmlns:vt="http://schemas.openxmlformats.org/officeDocument/2006/docPropsVTypes"/>
</file>