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System Architecture Overview</w:t>
      </w:r>
    </w:p>
    <w:p>
      <w:r>
        <w:rPr>
          <w:rFonts w:ascii="Arial" w:hAnsi="Arial"/>
          <w:i/>
          <w:sz w:val="18"/>
        </w:rPr>
        <w:t>Non-Technical Guide — How the Health Calculator Platform Works</w:t>
      </w:r>
    </w:p>
    <w:p>
      <w:r>
        <w:rPr>
          <w:rFonts w:ascii="Arial" w:hAnsi="Arial"/>
          <w:b/>
          <w:sz w:val="22"/>
        </w:rPr>
        <w:t>1. Core Concept</w:t>
      </w:r>
    </w:p>
    <w:p>
      <w:r>
        <w:rPr>
          <w:rFonts w:ascii="Arial" w:hAnsi="Arial"/>
          <w:sz w:val="18"/>
        </w:rPr>
        <w:t>The platform is designed as a single reusable engine. Instead of writing custom software code for every new health test, the system reads a structured configuration document. Adding a new calculator (such as Niro CWS or COVID Risk) requires creating a configuration file, not writing new code.</w:t>
      </w:r>
    </w:p>
    <w:p>
      <w:r>
        <w:rPr>
          <w:rFonts w:ascii="Arial" w:hAnsi="Arial"/>
          <w:b/>
          <w:sz w:val="22"/>
        </w:rPr>
        <w:t>2. System Flow Diagram</w:t>
      </w:r>
    </w:p>
    <w:p>
      <w:r>
        <w:rPr>
          <w:rFonts w:ascii="Courier New" w:hAnsi="Courier New"/>
          <w:sz w:val="17"/>
        </w:rPr>
        <w:t>[User Input Form] ---&gt; [Rule &amp; Formula Engine] ---&gt; [Health Assessment Report]</w:t>
        <w:br/>
        <w:t xml:space="preserve">                                     ^</w:t>
        <w:br/>
        <w:t xml:space="preserve">                                     | (loads config)</w:t>
        <w:br/>
        <w:t>[Admin Builder] ------------&gt; [Database Vault]</w:t>
      </w:r>
    </w:p>
    <w:p>
      <w:r>
        <w:rPr>
          <w:rFonts w:ascii="Arial" w:hAnsi="Arial"/>
          <w:b/>
          <w:sz w:val="22"/>
        </w:rPr>
        <w:t>3. The Four Key Components</w:t>
      </w:r>
    </w:p>
    <w:p>
      <w:r>
        <w:rPr>
          <w:rFonts w:ascii="Arial" w:hAnsi="Arial"/>
          <w:b/>
          <w:sz w:val="19"/>
        </w:rPr>
        <w:t>1. User Interface</w:t>
      </w:r>
    </w:p>
    <w:p>
      <w:pPr>
        <w:pStyle w:val="ListBullet"/>
      </w:pPr>
      <w:r>
        <w:rPr>
          <w:rFonts w:ascii="Arial" w:hAnsi="Arial"/>
          <w:sz w:val="17"/>
        </w:rPr>
        <w:t>Renders questions, options, and unit selectors dynamically from configuration.</w:t>
      </w:r>
    </w:p>
    <w:p>
      <w:pPr>
        <w:pStyle w:val="ListBullet"/>
      </w:pPr>
      <w:r>
        <w:rPr>
          <w:rFonts w:ascii="Arial" w:hAnsi="Arial"/>
          <w:sz w:val="17"/>
        </w:rPr>
        <w:t>Displays calculated scores, risk categories, domain breakdowns, and recommendations.</w:t>
      </w:r>
    </w:p>
    <w:p>
      <w:pPr>
        <w:pStyle w:val="ListBullet"/>
      </w:pPr>
      <w:r>
        <w:rPr>
          <w:rFonts w:ascii="Arial" w:hAnsi="Arial"/>
          <w:sz w:val="17"/>
        </w:rPr>
        <w:t>Adapts automatically whenever a calculator configuration is updated.</w:t>
      </w:r>
    </w:p>
    <w:p>
      <w:r>
        <w:rPr>
          <w:rFonts w:ascii="Arial" w:hAnsi="Arial"/>
          <w:b/>
          <w:sz w:val="19"/>
        </w:rPr>
        <w:t>2. Admin Builder</w:t>
      </w:r>
    </w:p>
    <w:p>
      <w:pPr>
        <w:pStyle w:val="ListBullet"/>
      </w:pPr>
      <w:r>
        <w:rPr>
          <w:rFonts w:ascii="Arial" w:hAnsi="Arial"/>
          <w:sz w:val="17"/>
        </w:rPr>
        <w:t>Provides a visual interface for non-technical team members to create and edit calculators.</w:t>
      </w:r>
    </w:p>
    <w:p>
      <w:pPr>
        <w:pStyle w:val="ListBullet"/>
      </w:pPr>
      <w:r>
        <w:rPr>
          <w:rFonts w:ascii="Arial" w:hAnsi="Arial"/>
          <w:sz w:val="17"/>
        </w:rPr>
        <w:t>Allows configuring parameters, unit conversions, scoring bands, and display layouts.</w:t>
      </w:r>
    </w:p>
    <w:p>
      <w:pPr>
        <w:pStyle w:val="ListBullet"/>
      </w:pPr>
      <w:r>
        <w:rPr>
          <w:rFonts w:ascii="Arial" w:hAnsi="Arial"/>
          <w:sz w:val="17"/>
        </w:rPr>
        <w:t>Includes a validator to check for errors before publishing.</w:t>
      </w:r>
    </w:p>
    <w:p>
      <w:r>
        <w:rPr>
          <w:rFonts w:ascii="Arial" w:hAnsi="Arial"/>
          <w:b/>
          <w:sz w:val="19"/>
        </w:rPr>
        <w:t>3. Rule and Formula Engine</w:t>
      </w:r>
    </w:p>
    <w:p>
      <w:pPr>
        <w:pStyle w:val="ListBullet"/>
      </w:pPr>
      <w:r>
        <w:rPr>
          <w:rFonts w:ascii="Arial" w:hAnsi="Arial"/>
          <w:sz w:val="17"/>
        </w:rPr>
        <w:t>Evaluates user inputs through a deterministic calculation pipeline.</w:t>
      </w:r>
    </w:p>
    <w:p>
      <w:pPr>
        <w:pStyle w:val="ListBullet"/>
      </w:pPr>
      <w:r>
        <w:rPr>
          <w:rFonts w:ascii="Arial" w:hAnsi="Arial"/>
          <w:sz w:val="17"/>
        </w:rPr>
        <w:t>Normalizes units, computes derived values, scores bands, and ranks risk contributors.</w:t>
      </w:r>
    </w:p>
    <w:p>
      <w:pPr>
        <w:pStyle w:val="ListBullet"/>
      </w:pPr>
      <w:r>
        <w:rPr>
          <w:rFonts w:ascii="Arial" w:hAnsi="Arial"/>
          <w:sz w:val="17"/>
        </w:rPr>
        <w:t>Operates independently of specific calculator logic to ensure complete reusability.</w:t>
      </w:r>
    </w:p>
    <w:p>
      <w:r>
        <w:rPr>
          <w:rFonts w:ascii="Arial" w:hAnsi="Arial"/>
          <w:b/>
          <w:sz w:val="19"/>
        </w:rPr>
        <w:t>4. Database Vault</w:t>
      </w:r>
    </w:p>
    <w:p>
      <w:pPr>
        <w:pStyle w:val="ListBullet"/>
      </w:pPr>
      <w:r>
        <w:rPr>
          <w:rFonts w:ascii="Arial" w:hAnsi="Arial"/>
          <w:sz w:val="17"/>
        </w:rPr>
        <w:t>Stores standard biomarker definitions, calculator configurations, and assessment history.</w:t>
      </w:r>
    </w:p>
    <w:p>
      <w:pPr>
        <w:pStyle w:val="ListBullet"/>
      </w:pPr>
      <w:r>
        <w:rPr>
          <w:rFonts w:ascii="Arial" w:hAnsi="Arial"/>
          <w:sz w:val="17"/>
        </w:rPr>
        <w:t>Maintains version control so every published result can be recreated accurately.</w:t>
      </w:r>
    </w:p>
    <w:p>
      <w:pPr>
        <w:pStyle w:val="ListBullet"/>
      </w:pPr>
      <w:r>
        <w:rPr>
          <w:rFonts w:ascii="Arial" w:hAnsi="Arial"/>
          <w:sz w:val="17"/>
        </w:rPr>
        <w:t>Ensures data integrity and security.</w:t>
      </w:r>
    </w:p>
    <w:p>
      <w:r>
        <w:rPr>
          <w:rFonts w:ascii="Arial" w:hAnsi="Arial"/>
          <w:b/>
          <w:sz w:val="22"/>
        </w:rPr>
        <w:t>4. Key System Benefits</w:t>
      </w:r>
    </w:p>
    <w:p>
      <w:pPr>
        <w:pStyle w:val="ListBullet"/>
      </w:pPr>
      <w:r>
        <w:rPr>
          <w:rFonts w:ascii="Arial" w:hAnsi="Arial"/>
          <w:b/>
          <w:sz w:val="17"/>
        </w:rPr>
        <w:t xml:space="preserve">Zero-Code Expansion: </w:t>
      </w:r>
      <w:r>
        <w:rPr>
          <w:rFonts w:ascii="Arial" w:hAnsi="Arial"/>
          <w:sz w:val="17"/>
        </w:rPr>
        <w:t>New calculators are added by creating configuration data rather than editing core code.</w:t>
      </w:r>
    </w:p>
    <w:p>
      <w:pPr>
        <w:pStyle w:val="ListBullet"/>
      </w:pPr>
      <w:r>
        <w:rPr>
          <w:rFonts w:ascii="Arial" w:hAnsi="Arial"/>
          <w:b/>
          <w:sz w:val="17"/>
        </w:rPr>
        <w:t xml:space="preserve">Fast Evaluation: </w:t>
      </w:r>
      <w:r>
        <w:rPr>
          <w:rFonts w:ascii="Arial" w:hAnsi="Arial"/>
          <w:sz w:val="17"/>
        </w:rPr>
        <w:t>Calculates results in under 0.3 seconds.</w:t>
      </w:r>
    </w:p>
    <w:p>
      <w:pPr>
        <w:pStyle w:val="ListBullet"/>
      </w:pPr>
      <w:r>
        <w:rPr>
          <w:rFonts w:ascii="Arial" w:hAnsi="Arial"/>
          <w:b/>
          <w:sz w:val="17"/>
        </w:rPr>
        <w:t xml:space="preserve">Full Traceability: </w:t>
      </w:r>
      <w:r>
        <w:rPr>
          <w:rFonts w:ascii="Arial" w:hAnsi="Arial"/>
          <w:sz w:val="17"/>
        </w:rPr>
        <w:t>Every score traces directly to verified reference logic.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