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F13D" w14:textId="77777777" w:rsidR="009634C2" w:rsidRDefault="00795388">
      <w:r>
        <w:t xml:space="preserve">Basic requirement of this project is to analyse the nifty movement based on the various technical study like RSI, VWAP, OI </w:t>
      </w:r>
      <w:proofErr w:type="gramStart"/>
      <w:r>
        <w:t>analysis ,</w:t>
      </w:r>
      <w:proofErr w:type="gramEnd"/>
      <w:r>
        <w:t xml:space="preserve"> price action movement etc… To get the data, we can connect to </w:t>
      </w:r>
      <w:proofErr w:type="spellStart"/>
      <w:r>
        <w:t>dhan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with proper client id and </w:t>
      </w:r>
      <w:proofErr w:type="spellStart"/>
      <w:r>
        <w:t>accesstoken</w:t>
      </w:r>
      <w:proofErr w:type="spellEnd"/>
      <w:r>
        <w:t xml:space="preserve">. I have an application screen shot which is already doing these things and want exactly like so to analyse the market. I want to use react </w:t>
      </w:r>
      <w:proofErr w:type="spellStart"/>
      <w:r>
        <w:t>js</w:t>
      </w:r>
      <w:proofErr w:type="spellEnd"/>
      <w:r>
        <w:t xml:space="preserve"> as front end which ever is the latest version and .net core rest </w:t>
      </w:r>
      <w:proofErr w:type="spellStart"/>
      <w:proofErr w:type="gramStart"/>
      <w:r>
        <w:t>api</w:t>
      </w:r>
      <w:proofErr w:type="spellEnd"/>
      <w:r>
        <w:t xml:space="preserve"> .</w:t>
      </w:r>
      <w:proofErr w:type="gramEnd"/>
      <w:r>
        <w:t xml:space="preserve"> Also need a module to handle user registration and login. Also allow the user to register with their </w:t>
      </w:r>
      <w:proofErr w:type="spellStart"/>
      <w:r>
        <w:t>gamil</w:t>
      </w:r>
      <w:proofErr w:type="spellEnd"/>
      <w:r>
        <w:t xml:space="preserve"> id. </w:t>
      </w:r>
    </w:p>
    <w:p w14:paraId="155A64F0" w14:textId="77777777" w:rsidR="00795388" w:rsidRDefault="00795388" w:rsidP="00795388">
      <w:pPr>
        <w:pStyle w:val="ListParagraph"/>
        <w:numPr>
          <w:ilvl w:val="0"/>
          <w:numId w:val="1"/>
        </w:numPr>
      </w:pPr>
      <w:r>
        <w:t>Below is the home screen for the login</w:t>
      </w:r>
      <w:r w:rsidR="00CF587B">
        <w:t>/register</w:t>
      </w:r>
      <w:r>
        <w:t xml:space="preserve"> to the user. </w:t>
      </w:r>
      <w:r w:rsidR="00CF587B">
        <w:t>Use Microsoft identity framework to control user authentication and registration. Please suggest if any other better option</w:t>
      </w:r>
    </w:p>
    <w:p w14:paraId="47DF125F" w14:textId="77777777" w:rsidR="00CF587B" w:rsidRDefault="00CF587B" w:rsidP="00CF587B">
      <w:pPr>
        <w:pStyle w:val="ListParagraph"/>
        <w:numPr>
          <w:ilvl w:val="1"/>
          <w:numId w:val="1"/>
        </w:numPr>
      </w:pPr>
      <w:r>
        <w:t>Registration</w:t>
      </w:r>
    </w:p>
    <w:p w14:paraId="53D08F6B" w14:textId="77777777" w:rsidR="00CF587B" w:rsidRDefault="00CF587B" w:rsidP="00CF587B">
      <w:pPr>
        <w:pStyle w:val="ListParagraph"/>
        <w:ind w:left="1440"/>
      </w:pPr>
      <w:r w:rsidRPr="00CF587B">
        <w:rPr>
          <w:noProof/>
        </w:rPr>
        <w:drawing>
          <wp:inline distT="0" distB="0" distL="0" distR="0" wp14:anchorId="422F54E8" wp14:editId="50B20439">
            <wp:extent cx="5731510" cy="2571115"/>
            <wp:effectExtent l="0" t="0" r="2540" b="635"/>
            <wp:docPr id="96923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36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CB99" w14:textId="77777777" w:rsidR="00CF587B" w:rsidRDefault="00CF587B" w:rsidP="00CF587B">
      <w:pPr>
        <w:pStyle w:val="ListParagraph"/>
        <w:ind w:left="1440"/>
      </w:pPr>
    </w:p>
    <w:p w14:paraId="36016A40" w14:textId="77777777" w:rsidR="00CF587B" w:rsidRDefault="00CF587B" w:rsidP="00CF587B">
      <w:pPr>
        <w:pStyle w:val="ListParagraph"/>
        <w:ind w:left="1440"/>
      </w:pPr>
    </w:p>
    <w:p w14:paraId="6F55DF88" w14:textId="77777777" w:rsidR="00CF587B" w:rsidRDefault="00CF587B" w:rsidP="00CF587B">
      <w:pPr>
        <w:pStyle w:val="ListParagraph"/>
        <w:numPr>
          <w:ilvl w:val="1"/>
          <w:numId w:val="1"/>
        </w:numPr>
      </w:pPr>
      <w:r>
        <w:t>Login</w:t>
      </w:r>
    </w:p>
    <w:p w14:paraId="4C6D63C9" w14:textId="77777777" w:rsidR="00CF587B" w:rsidRDefault="00CF587B" w:rsidP="00CF587B">
      <w:pPr>
        <w:pStyle w:val="ListParagraph"/>
        <w:ind w:left="1440"/>
      </w:pPr>
      <w:r w:rsidRPr="00CF587B">
        <w:rPr>
          <w:noProof/>
        </w:rPr>
        <w:drawing>
          <wp:inline distT="0" distB="0" distL="0" distR="0" wp14:anchorId="5C7E53B2" wp14:editId="699815BE">
            <wp:extent cx="5731510" cy="2470150"/>
            <wp:effectExtent l="0" t="0" r="2540" b="6350"/>
            <wp:docPr id="205027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75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E7C5" w14:textId="77777777" w:rsidR="00CF587B" w:rsidRDefault="00CF587B" w:rsidP="00CF587B">
      <w:pPr>
        <w:pStyle w:val="ListParagraph"/>
        <w:ind w:left="1440"/>
      </w:pPr>
    </w:p>
    <w:p w14:paraId="7A5D2A8F" w14:textId="77777777" w:rsidR="00CF587B" w:rsidRDefault="00CF587B" w:rsidP="00CF587B">
      <w:pPr>
        <w:pStyle w:val="ListParagraph"/>
        <w:numPr>
          <w:ilvl w:val="0"/>
          <w:numId w:val="1"/>
        </w:numPr>
      </w:pPr>
      <w:r>
        <w:t>Home page after login</w:t>
      </w:r>
    </w:p>
    <w:p w14:paraId="6336A06A" w14:textId="77777777" w:rsidR="00CF587B" w:rsidRDefault="00CF587B" w:rsidP="00CF587B">
      <w:pPr>
        <w:pStyle w:val="ListParagraph"/>
      </w:pPr>
      <w:r w:rsidRPr="00CF587B">
        <w:rPr>
          <w:noProof/>
        </w:rPr>
        <w:lastRenderedPageBreak/>
        <w:drawing>
          <wp:inline distT="0" distB="0" distL="0" distR="0" wp14:anchorId="4AC14CB9" wp14:editId="1AE1D9F5">
            <wp:extent cx="5731510" cy="2458720"/>
            <wp:effectExtent l="0" t="0" r="2540" b="0"/>
            <wp:docPr id="69051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10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F513" w14:textId="77777777" w:rsidR="00CF587B" w:rsidRDefault="00CF587B" w:rsidP="00CF587B">
      <w:pPr>
        <w:pStyle w:val="ListParagraph"/>
      </w:pPr>
    </w:p>
    <w:p w14:paraId="562AA953" w14:textId="77777777" w:rsidR="00CF587B" w:rsidRDefault="00CF587B" w:rsidP="00CF587B">
      <w:pPr>
        <w:pStyle w:val="ListParagraph"/>
        <w:numPr>
          <w:ilvl w:val="0"/>
          <w:numId w:val="1"/>
        </w:numPr>
      </w:pPr>
      <w:r>
        <w:t xml:space="preserve">Segment selection </w:t>
      </w:r>
    </w:p>
    <w:p w14:paraId="3DAEC3AC" w14:textId="77777777" w:rsidR="00CF587B" w:rsidRDefault="00CF587B" w:rsidP="00CF587B">
      <w:pPr>
        <w:pStyle w:val="ListParagraph"/>
      </w:pPr>
      <w:r>
        <w:t xml:space="preserve">When click on the live </w:t>
      </w:r>
      <w:proofErr w:type="gramStart"/>
      <w:r>
        <w:t>option ,</w:t>
      </w:r>
      <w:proofErr w:type="gramEnd"/>
      <w:r>
        <w:t xml:space="preserve"> it will open the default nifty 50 with possible </w:t>
      </w:r>
      <w:proofErr w:type="gramStart"/>
      <w:r>
        <w:t>strikes .</w:t>
      </w:r>
      <w:proofErr w:type="gramEnd"/>
      <w:r>
        <w:t xml:space="preserve"> here we can limit to 10 top and bottom of current </w:t>
      </w:r>
      <w:proofErr w:type="gramStart"/>
      <w:r>
        <w:t>strike .</w:t>
      </w:r>
      <w:proofErr w:type="gramEnd"/>
      <w:r>
        <w:t xml:space="preserve"> for </w:t>
      </w:r>
      <w:proofErr w:type="spellStart"/>
      <w:r>
        <w:t>eg</w:t>
      </w:r>
      <w:proofErr w:type="spellEnd"/>
      <w:r>
        <w:t>: 24200 here.</w:t>
      </w:r>
    </w:p>
    <w:p w14:paraId="74957440" w14:textId="77777777" w:rsidR="00CF587B" w:rsidRDefault="00415744" w:rsidP="00CF587B">
      <w:pPr>
        <w:pStyle w:val="ListParagraph"/>
      </w:pPr>
      <w:r w:rsidRPr="00415744">
        <w:rPr>
          <w:noProof/>
        </w:rPr>
        <w:drawing>
          <wp:inline distT="0" distB="0" distL="0" distR="0" wp14:anchorId="3032588E" wp14:editId="1B81AA62">
            <wp:extent cx="5731510" cy="2563495"/>
            <wp:effectExtent l="0" t="0" r="2540" b="8255"/>
            <wp:docPr id="146784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48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221" w14:textId="77777777" w:rsidR="00415744" w:rsidRDefault="00415744" w:rsidP="00CF587B">
      <w:pPr>
        <w:pStyle w:val="ListParagraph"/>
      </w:pPr>
      <w:r>
        <w:t xml:space="preserve">When we click on the top right NIFT-AI </w:t>
      </w:r>
      <w:proofErr w:type="gramStart"/>
      <w:r>
        <w:t>button ,</w:t>
      </w:r>
      <w:proofErr w:type="gramEnd"/>
      <w:r>
        <w:t xml:space="preserve"> it will open all possible </w:t>
      </w:r>
      <w:proofErr w:type="spellStart"/>
      <w:r>
        <w:t>segements</w:t>
      </w:r>
      <w:proofErr w:type="spellEnd"/>
      <w:r>
        <w:t xml:space="preserve"> of index and stocks where user can select one at a time</w:t>
      </w:r>
    </w:p>
    <w:p w14:paraId="34ED8E9A" w14:textId="77777777" w:rsidR="00415744" w:rsidRDefault="00415744" w:rsidP="00CF587B">
      <w:pPr>
        <w:pStyle w:val="ListParagraph"/>
      </w:pPr>
      <w:r w:rsidRPr="00415744">
        <w:rPr>
          <w:noProof/>
        </w:rPr>
        <w:drawing>
          <wp:inline distT="0" distB="0" distL="0" distR="0" wp14:anchorId="6E9DD5A0" wp14:editId="44074345">
            <wp:extent cx="5731510" cy="2533015"/>
            <wp:effectExtent l="0" t="0" r="2540" b="635"/>
            <wp:docPr id="10504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3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6FC8" w14:textId="77777777" w:rsidR="00415744" w:rsidRDefault="00415744" w:rsidP="00CF587B">
      <w:pPr>
        <w:pStyle w:val="ListParagraph"/>
      </w:pPr>
      <w:r>
        <w:lastRenderedPageBreak/>
        <w:t xml:space="preserve">Star markings </w:t>
      </w:r>
      <w:proofErr w:type="gramStart"/>
      <w:r>
        <w:t>shows</w:t>
      </w:r>
      <w:proofErr w:type="gramEnd"/>
      <w:r>
        <w:t xml:space="preserve"> they are favourites and they list on top. Once selected it will open that symbol with possible option strikes. Here I selected </w:t>
      </w:r>
      <w:proofErr w:type="spellStart"/>
      <w:r>
        <w:t>sensex</w:t>
      </w:r>
      <w:proofErr w:type="spellEnd"/>
      <w:r>
        <w:t xml:space="preserve">, so it shows </w:t>
      </w:r>
      <w:proofErr w:type="spellStart"/>
      <w:r>
        <w:t>sensex</w:t>
      </w:r>
      <w:proofErr w:type="spellEnd"/>
      <w:r>
        <w:t xml:space="preserve"> details.</w:t>
      </w:r>
    </w:p>
    <w:p w14:paraId="2BC10A39" w14:textId="77777777" w:rsidR="00415744" w:rsidRDefault="00415744" w:rsidP="00CF587B">
      <w:pPr>
        <w:pStyle w:val="ListParagraph"/>
      </w:pPr>
      <w:r w:rsidRPr="00415744">
        <w:rPr>
          <w:noProof/>
        </w:rPr>
        <w:drawing>
          <wp:inline distT="0" distB="0" distL="0" distR="0" wp14:anchorId="5039E574" wp14:editId="57BC8EE3">
            <wp:extent cx="5731510" cy="2441575"/>
            <wp:effectExtent l="0" t="0" r="2540" b="0"/>
            <wp:docPr id="87652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28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F9E3" w14:textId="77777777" w:rsidR="00415744" w:rsidRDefault="00415744" w:rsidP="00CF587B">
      <w:pPr>
        <w:pStyle w:val="ListParagraph"/>
      </w:pPr>
      <w:r>
        <w:t xml:space="preserve">In the right </w:t>
      </w:r>
      <w:proofErr w:type="gramStart"/>
      <w:r>
        <w:t>panel ,</w:t>
      </w:r>
      <w:proofErr w:type="gramEnd"/>
      <w:r>
        <w:t xml:space="preserve"> there is chart drawn based on the instrument selected. It will be better to in cooperate such one. The lines drawn are and Gann level for the symbol.</w:t>
      </w:r>
    </w:p>
    <w:p w14:paraId="71CC3062" w14:textId="77777777" w:rsidR="00415744" w:rsidRDefault="00415744" w:rsidP="00CF587B">
      <w:pPr>
        <w:pStyle w:val="ListParagraph"/>
      </w:pPr>
    </w:p>
    <w:p w14:paraId="41692546" w14:textId="77777777" w:rsidR="00415744" w:rsidRDefault="00415744" w:rsidP="00CF587B">
      <w:pPr>
        <w:pStyle w:val="ListParagraph"/>
      </w:pPr>
      <w:proofErr w:type="gramStart"/>
      <w:r>
        <w:t>Also</w:t>
      </w:r>
      <w:proofErr w:type="gramEnd"/>
      <w:r>
        <w:t xml:space="preserve"> if you notice the central </w:t>
      </w:r>
      <w:proofErr w:type="gramStart"/>
      <w:r>
        <w:t>line ,</w:t>
      </w:r>
      <w:proofErr w:type="gramEnd"/>
      <w:r>
        <w:t xml:space="preserve"> it shows the current spot and indicates CE and PE moving up or down. </w:t>
      </w:r>
      <w:proofErr w:type="gramStart"/>
      <w:r>
        <w:t>Also</w:t>
      </w:r>
      <w:proofErr w:type="gramEnd"/>
      <w:r>
        <w:t xml:space="preserve"> different </w:t>
      </w:r>
      <w:proofErr w:type="spellStart"/>
      <w:r>
        <w:t>colors</w:t>
      </w:r>
      <w:proofErr w:type="spellEnd"/>
      <w:r>
        <w:t xml:space="preserve"> </w:t>
      </w:r>
      <w:proofErr w:type="gramStart"/>
      <w:r>
        <w:t>indicates</w:t>
      </w:r>
      <w:proofErr w:type="gramEnd"/>
      <w:r>
        <w:t xml:space="preserve"> no of open positions where it is high. Green </w:t>
      </w:r>
      <w:proofErr w:type="spellStart"/>
      <w:r>
        <w:t>color</w:t>
      </w:r>
      <w:proofErr w:type="spellEnd"/>
      <w:r>
        <w:t xml:space="preserve"> in the put side shows the hight one, then orange just below and then yellow. Same follows for CE side with green as the top one.</w:t>
      </w:r>
    </w:p>
    <w:p w14:paraId="79C7CA10" w14:textId="77777777" w:rsidR="00415744" w:rsidRDefault="00415744" w:rsidP="00CF587B">
      <w:pPr>
        <w:pStyle w:val="ListParagraph"/>
      </w:pPr>
      <w:r w:rsidRPr="00415744">
        <w:rPr>
          <w:noProof/>
        </w:rPr>
        <w:drawing>
          <wp:inline distT="0" distB="0" distL="0" distR="0" wp14:anchorId="416E58C8" wp14:editId="13955764">
            <wp:extent cx="5731510" cy="1458595"/>
            <wp:effectExtent l="0" t="0" r="2540" b="8255"/>
            <wp:docPr id="117850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07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CDA3" w14:textId="77777777" w:rsidR="00415744" w:rsidRDefault="00415744" w:rsidP="00CF587B">
      <w:pPr>
        <w:pStyle w:val="ListParagraph"/>
      </w:pPr>
    </w:p>
    <w:p w14:paraId="0DA0A994" w14:textId="77777777" w:rsidR="00415744" w:rsidRDefault="00565B7B" w:rsidP="00CF587B">
      <w:pPr>
        <w:pStyle w:val="ListParagraph"/>
      </w:pPr>
      <w:proofErr w:type="gramStart"/>
      <w:r>
        <w:t>Also</w:t>
      </w:r>
      <w:proofErr w:type="gramEnd"/>
      <w:r>
        <w:t xml:space="preserve"> there are other information’s provided in the bottom. Better to include those as well.</w:t>
      </w:r>
    </w:p>
    <w:p w14:paraId="6796518E" w14:textId="77777777" w:rsidR="00565B7B" w:rsidRDefault="00565B7B" w:rsidP="00CF587B">
      <w:pPr>
        <w:pStyle w:val="ListParagraph"/>
      </w:pPr>
    </w:p>
    <w:p w14:paraId="0CC3A22C" w14:textId="77777777" w:rsidR="00565B7B" w:rsidRDefault="00565B7B" w:rsidP="00CF587B">
      <w:pPr>
        <w:pStyle w:val="ListParagraph"/>
      </w:pPr>
      <w:r w:rsidRPr="00565B7B">
        <w:rPr>
          <w:noProof/>
        </w:rPr>
        <w:lastRenderedPageBreak/>
        <w:drawing>
          <wp:inline distT="0" distB="0" distL="0" distR="0" wp14:anchorId="0C7F41E3" wp14:editId="5FA59E73">
            <wp:extent cx="5731510" cy="2997835"/>
            <wp:effectExtent l="0" t="0" r="2540" b="0"/>
            <wp:docPr id="167080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09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2B3B" w14:textId="77777777" w:rsidR="00565B7B" w:rsidRDefault="00565B7B" w:rsidP="00CF587B">
      <w:pPr>
        <w:pStyle w:val="ListParagraph"/>
      </w:pPr>
    </w:p>
    <w:p w14:paraId="21544795" w14:textId="77777777" w:rsidR="00565B7B" w:rsidRDefault="00565B7B" w:rsidP="00565B7B">
      <w:pPr>
        <w:pStyle w:val="ListParagraph"/>
        <w:numPr>
          <w:ilvl w:val="0"/>
          <w:numId w:val="1"/>
        </w:numPr>
      </w:pPr>
      <w:r>
        <w:t>Support and resistance of strikes</w:t>
      </w:r>
    </w:p>
    <w:p w14:paraId="394AEE1B" w14:textId="77777777" w:rsidR="00565B7B" w:rsidRDefault="00565B7B" w:rsidP="00CF587B">
      <w:pPr>
        <w:pStyle w:val="ListParagraph"/>
      </w:pPr>
      <w:r>
        <w:t xml:space="preserve">If you click on any strike, it will show the support and resistance of that strike </w:t>
      </w:r>
    </w:p>
    <w:p w14:paraId="0A9D4685" w14:textId="77777777" w:rsidR="00565B7B" w:rsidRDefault="00565B7B" w:rsidP="00CF587B">
      <w:pPr>
        <w:pStyle w:val="ListParagraph"/>
      </w:pPr>
      <w:r w:rsidRPr="00565B7B">
        <w:rPr>
          <w:noProof/>
        </w:rPr>
        <w:drawing>
          <wp:inline distT="0" distB="0" distL="0" distR="0" wp14:anchorId="739E7524" wp14:editId="0180C064">
            <wp:extent cx="5731510" cy="2639695"/>
            <wp:effectExtent l="0" t="0" r="2540" b="8255"/>
            <wp:docPr id="144840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06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2572" w14:textId="77777777" w:rsidR="00565B7B" w:rsidRDefault="00565B7B" w:rsidP="00CF587B">
      <w:pPr>
        <w:pStyle w:val="ListParagraph"/>
      </w:pPr>
    </w:p>
    <w:p w14:paraId="7D546B0A" w14:textId="77777777" w:rsidR="00565B7B" w:rsidRDefault="00565B7B" w:rsidP="00565B7B">
      <w:pPr>
        <w:pStyle w:val="ListParagraph"/>
        <w:numPr>
          <w:ilvl w:val="0"/>
          <w:numId w:val="1"/>
        </w:numPr>
      </w:pPr>
      <w:r>
        <w:t xml:space="preserve">OI charts </w:t>
      </w:r>
    </w:p>
    <w:p w14:paraId="2A9B5CAA" w14:textId="77777777" w:rsidR="00565B7B" w:rsidRDefault="00565B7B" w:rsidP="00CF587B">
      <w:pPr>
        <w:pStyle w:val="ListParagraph"/>
      </w:pPr>
      <w:r>
        <w:t xml:space="preserve">Below are the various charts when we </w:t>
      </w:r>
      <w:proofErr w:type="gramStart"/>
      <w:r>
        <w:t>clicks</w:t>
      </w:r>
      <w:proofErr w:type="gramEnd"/>
      <w:r>
        <w:t xml:space="preserve"> on each </w:t>
      </w:r>
      <w:proofErr w:type="gramStart"/>
      <w:r>
        <w:t>values .</w:t>
      </w:r>
      <w:proofErr w:type="gramEnd"/>
    </w:p>
    <w:p w14:paraId="253EAD51" w14:textId="77777777" w:rsidR="00565B7B" w:rsidRDefault="00DE5677" w:rsidP="00CF587B">
      <w:pPr>
        <w:pStyle w:val="ListParagraph"/>
      </w:pPr>
      <w:r>
        <w:t>IV/Delta</w:t>
      </w:r>
    </w:p>
    <w:p w14:paraId="708BC1CF" w14:textId="77777777" w:rsidR="00DE5677" w:rsidRDefault="00DE5677" w:rsidP="00CF587B">
      <w:pPr>
        <w:pStyle w:val="ListParagraph"/>
      </w:pPr>
      <w:r w:rsidRPr="00DE5677">
        <w:rPr>
          <w:noProof/>
        </w:rPr>
        <w:lastRenderedPageBreak/>
        <w:drawing>
          <wp:inline distT="0" distB="0" distL="0" distR="0" wp14:anchorId="459EF851" wp14:editId="0679BB16">
            <wp:extent cx="5731510" cy="2479040"/>
            <wp:effectExtent l="0" t="0" r="2540" b="0"/>
            <wp:docPr id="69551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13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03AE" w14:textId="77777777" w:rsidR="00DE5677" w:rsidRDefault="00DE5677" w:rsidP="00CF587B">
      <w:pPr>
        <w:pStyle w:val="ListParagraph"/>
      </w:pPr>
    </w:p>
    <w:p w14:paraId="08751031" w14:textId="77777777" w:rsidR="00DE5677" w:rsidRDefault="00DE5677" w:rsidP="00CF587B">
      <w:pPr>
        <w:pStyle w:val="ListParagraph"/>
      </w:pPr>
      <w:r>
        <w:t xml:space="preserve">OI change </w:t>
      </w:r>
    </w:p>
    <w:p w14:paraId="0DFAE372" w14:textId="77777777" w:rsidR="00DE5677" w:rsidRDefault="00DE5677" w:rsidP="00CF587B">
      <w:pPr>
        <w:pStyle w:val="ListParagraph"/>
      </w:pPr>
      <w:r w:rsidRPr="00DE5677">
        <w:rPr>
          <w:noProof/>
        </w:rPr>
        <w:drawing>
          <wp:inline distT="0" distB="0" distL="0" distR="0" wp14:anchorId="61429CF0" wp14:editId="14407C71">
            <wp:extent cx="5731510" cy="2488565"/>
            <wp:effectExtent l="0" t="0" r="2540" b="6985"/>
            <wp:docPr id="197150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073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565E" w14:textId="77777777" w:rsidR="00DE5677" w:rsidRDefault="00DE5677" w:rsidP="00CF587B">
      <w:pPr>
        <w:pStyle w:val="ListParagraph"/>
      </w:pPr>
    </w:p>
    <w:p w14:paraId="74A238B3" w14:textId="77777777" w:rsidR="00DE5677" w:rsidRDefault="00DE5677" w:rsidP="00CF587B">
      <w:pPr>
        <w:pStyle w:val="ListParagraph"/>
      </w:pPr>
      <w:r>
        <w:t xml:space="preserve">OI </w:t>
      </w:r>
    </w:p>
    <w:p w14:paraId="0E66223E" w14:textId="77777777" w:rsidR="00DE5677" w:rsidRDefault="00DE5677" w:rsidP="00CF587B">
      <w:pPr>
        <w:pStyle w:val="ListParagraph"/>
      </w:pPr>
      <w:r w:rsidRPr="00DE5677">
        <w:rPr>
          <w:noProof/>
        </w:rPr>
        <w:drawing>
          <wp:inline distT="0" distB="0" distL="0" distR="0" wp14:anchorId="681FA06C" wp14:editId="03139E59">
            <wp:extent cx="5731510" cy="2754630"/>
            <wp:effectExtent l="0" t="0" r="2540" b="7620"/>
            <wp:docPr id="183366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60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57B2" w14:textId="77777777" w:rsidR="00DE5677" w:rsidRDefault="00DE5677" w:rsidP="00CF587B">
      <w:pPr>
        <w:pStyle w:val="ListParagraph"/>
      </w:pPr>
    </w:p>
    <w:p w14:paraId="48FD4A30" w14:textId="77777777" w:rsidR="00DE5677" w:rsidRDefault="00DE5677" w:rsidP="00CF587B">
      <w:pPr>
        <w:pStyle w:val="ListParagraph"/>
      </w:pPr>
      <w:r>
        <w:lastRenderedPageBreak/>
        <w:t xml:space="preserve">There are more such reports can </w:t>
      </w:r>
      <w:proofErr w:type="gramStart"/>
      <w:r>
        <w:t>make .</w:t>
      </w:r>
      <w:proofErr w:type="gramEnd"/>
      <w:r>
        <w:t xml:space="preserve"> </w:t>
      </w:r>
      <w:proofErr w:type="gramStart"/>
      <w:r>
        <w:t>however</w:t>
      </w:r>
      <w:proofErr w:type="gramEnd"/>
      <w:r>
        <w:t xml:space="preserve"> if found anything </w:t>
      </w:r>
      <w:proofErr w:type="gramStart"/>
      <w:r>
        <w:t>meaningful ,</w:t>
      </w:r>
      <w:proofErr w:type="gramEnd"/>
      <w:r>
        <w:t xml:space="preserve"> please create those as well. </w:t>
      </w:r>
      <w:proofErr w:type="gramStart"/>
      <w:r>
        <w:t>Basically</w:t>
      </w:r>
      <w:proofErr w:type="gramEnd"/>
      <w:r>
        <w:t xml:space="preserve"> a person </w:t>
      </w:r>
      <w:proofErr w:type="gramStart"/>
      <w:r>
        <w:t>see</w:t>
      </w:r>
      <w:proofErr w:type="gramEnd"/>
      <w:r>
        <w:t xml:space="preserve"> this page should able to take a decision that he can buy a CE or </w:t>
      </w:r>
      <w:proofErr w:type="gramStart"/>
      <w:r>
        <w:t>PE ,</w:t>
      </w:r>
      <w:proofErr w:type="gramEnd"/>
      <w:r>
        <w:t xml:space="preserve"> which is worthwhile.</w:t>
      </w:r>
    </w:p>
    <w:p w14:paraId="3813FD76" w14:textId="77777777" w:rsidR="00AC20FC" w:rsidRDefault="00AC20FC">
      <w:pPr>
        <w:sectPr w:rsidR="00AC20F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1EF7287" w14:textId="77777777" w:rsidR="00AC20FC" w:rsidRDefault="00000000">
      <w:pPr>
        <w:pStyle w:val="Heading1"/>
      </w:pPr>
      <w:r>
        <w:rPr>
          <w:b/>
          <w:sz w:val="32"/>
        </w:rPr>
        <w:lastRenderedPageBreak/>
        <w:t>Project Feasibility and Decision Checklist</w:t>
      </w:r>
    </w:p>
    <w:p w14:paraId="0A099D02" w14:textId="77777777" w:rsidR="00AC20FC" w:rsidRDefault="00000000">
      <w:r>
        <w:rPr>
          <w:b/>
        </w:rPr>
        <w:t xml:space="preserve">Purpose: </w:t>
      </w:r>
      <w:r>
        <w:t>Use this checklist to confirm what should be included in the first project build, what can be deferred, and which third-party services or paid tools are required before development starts.</w:t>
      </w:r>
    </w:p>
    <w:p w14:paraId="2DD901DC" w14:textId="77777777" w:rsidR="00AC20FC" w:rsidRDefault="00000000">
      <w:r>
        <w:rPr>
          <w:b/>
        </w:rPr>
        <w:t xml:space="preserve">Decision options: </w:t>
      </w:r>
      <w:r>
        <w:t>Needed / Optional / Not Needed / Later. Fill the Decision and Notes columns before project kickoff.</w:t>
      </w:r>
    </w:p>
    <w:p w14:paraId="79292E3C" w14:textId="77777777" w:rsidR="00AC20FC" w:rsidRDefault="00000000">
      <w:pPr>
        <w:pStyle w:val="Heading2"/>
      </w:pPr>
      <w:r>
        <w:rPr>
          <w:b/>
          <w:sz w:val="25"/>
        </w:rPr>
        <w:t>Core Application Scope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1655"/>
        <w:gridCol w:w="5976"/>
        <w:gridCol w:w="1655"/>
        <w:gridCol w:w="2951"/>
      </w:tblGrid>
      <w:tr w:rsidR="00AC20FC" w14:paraId="4F387F72" w14:textId="77777777">
        <w:trPr>
          <w:jc w:val="center"/>
        </w:trPr>
        <w:tc>
          <w:tcPr>
            <w:tcW w:w="2951" w:type="dxa"/>
            <w:shd w:val="clear" w:color="auto" w:fill="1F4E79"/>
            <w:vAlign w:val="center"/>
          </w:tcPr>
          <w:p w14:paraId="3BDFA16B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1655" w:type="dxa"/>
            <w:shd w:val="clear" w:color="auto" w:fill="1F4E79"/>
            <w:vAlign w:val="center"/>
          </w:tcPr>
          <w:p w14:paraId="0D4055D3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Suggested Need</w:t>
            </w:r>
          </w:p>
        </w:tc>
        <w:tc>
          <w:tcPr>
            <w:tcW w:w="5976" w:type="dxa"/>
            <w:shd w:val="clear" w:color="auto" w:fill="1F4E79"/>
            <w:vAlign w:val="center"/>
          </w:tcPr>
          <w:p w14:paraId="78292BDB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Comment</w:t>
            </w:r>
          </w:p>
        </w:tc>
        <w:tc>
          <w:tcPr>
            <w:tcW w:w="1655" w:type="dxa"/>
            <w:shd w:val="clear" w:color="auto" w:fill="1F4E79"/>
            <w:vAlign w:val="center"/>
          </w:tcPr>
          <w:p w14:paraId="5E847734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2951" w:type="dxa"/>
            <w:shd w:val="clear" w:color="auto" w:fill="1F4E79"/>
            <w:vAlign w:val="center"/>
          </w:tcPr>
          <w:p w14:paraId="1ADDEF78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 w:rsidR="00AC20FC" w14:paraId="698A1698" w14:textId="77777777">
        <w:trPr>
          <w:jc w:val="center"/>
        </w:trPr>
        <w:tc>
          <w:tcPr>
            <w:tcW w:w="2951" w:type="dxa"/>
            <w:vAlign w:val="center"/>
          </w:tcPr>
          <w:p w14:paraId="457E22BD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React frontend dashboard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13077CD6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214CDEDB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Required to build the screens shown in the screenshots.</w:t>
            </w:r>
          </w:p>
        </w:tc>
        <w:tc>
          <w:tcPr>
            <w:tcW w:w="1655" w:type="dxa"/>
            <w:vAlign w:val="center"/>
          </w:tcPr>
          <w:p w14:paraId="1D0E4B7B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487271F1" w14:textId="77777777" w:rsidR="00AC20FC" w:rsidRDefault="00AC20FC">
            <w:pPr>
              <w:spacing w:after="0" w:line="240" w:lineRule="auto"/>
            </w:pPr>
          </w:p>
        </w:tc>
      </w:tr>
      <w:tr w:rsidR="00AC20FC" w14:paraId="58CB856F" w14:textId="77777777">
        <w:trPr>
          <w:jc w:val="center"/>
        </w:trPr>
        <w:tc>
          <w:tcPr>
            <w:tcW w:w="2951" w:type="dxa"/>
            <w:vAlign w:val="center"/>
          </w:tcPr>
          <w:p w14:paraId="7191C292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.NET Core / ASP.NET Core REST API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7FE256D1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292992D4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Required backend for authentication, Dhan integration, calculations, and live updates.</w:t>
            </w:r>
          </w:p>
        </w:tc>
        <w:tc>
          <w:tcPr>
            <w:tcW w:w="1655" w:type="dxa"/>
            <w:vAlign w:val="center"/>
          </w:tcPr>
          <w:p w14:paraId="3AF28F14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0667D7B9" w14:textId="77777777" w:rsidR="00AC20FC" w:rsidRDefault="00AC20FC">
            <w:pPr>
              <w:spacing w:after="0" w:line="240" w:lineRule="auto"/>
            </w:pPr>
          </w:p>
        </w:tc>
      </w:tr>
      <w:tr w:rsidR="00AC20FC" w14:paraId="3B6DF3B4" w14:textId="77777777">
        <w:trPr>
          <w:jc w:val="center"/>
        </w:trPr>
        <w:tc>
          <w:tcPr>
            <w:tcW w:w="2951" w:type="dxa"/>
            <w:vAlign w:val="center"/>
          </w:tcPr>
          <w:p w14:paraId="12CADA21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Responsive desktop-first UI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0B1EDF8F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3A7333F0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The screenshots are dense trading screens; desktop should be priority. Mobile can be limited initially.</w:t>
            </w:r>
          </w:p>
        </w:tc>
        <w:tc>
          <w:tcPr>
            <w:tcW w:w="1655" w:type="dxa"/>
            <w:vAlign w:val="center"/>
          </w:tcPr>
          <w:p w14:paraId="709C407F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35633ED3" w14:textId="77777777" w:rsidR="00AC20FC" w:rsidRDefault="00AC20FC">
            <w:pPr>
              <w:spacing w:after="0" w:line="240" w:lineRule="auto"/>
            </w:pPr>
          </w:p>
        </w:tc>
      </w:tr>
      <w:tr w:rsidR="00AC20FC" w14:paraId="3F93A49B" w14:textId="77777777">
        <w:trPr>
          <w:jc w:val="center"/>
        </w:trPr>
        <w:tc>
          <w:tcPr>
            <w:tcW w:w="2951" w:type="dxa"/>
            <w:vAlign w:val="center"/>
          </w:tcPr>
          <w:p w14:paraId="042B0C12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Exact UI clone of reference screenshots</w:t>
            </w:r>
          </w:p>
        </w:tc>
        <w:tc>
          <w:tcPr>
            <w:tcW w:w="1655" w:type="dxa"/>
            <w:shd w:val="clear" w:color="auto" w:fill="FFF2CC"/>
            <w:vAlign w:val="center"/>
          </w:tcPr>
          <w:p w14:paraId="027AD38D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Optional</w:t>
            </w:r>
          </w:p>
        </w:tc>
        <w:tc>
          <w:tcPr>
            <w:tcW w:w="5976" w:type="dxa"/>
            <w:vAlign w:val="center"/>
          </w:tcPr>
          <w:p w14:paraId="3D1286DD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Feasible, but exact clone increases effort. Recommended: same workflow and information layout, refined UI.</w:t>
            </w:r>
          </w:p>
        </w:tc>
        <w:tc>
          <w:tcPr>
            <w:tcW w:w="1655" w:type="dxa"/>
            <w:vAlign w:val="center"/>
          </w:tcPr>
          <w:p w14:paraId="0ACCA06F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67338C20" w14:textId="77777777" w:rsidR="00AC20FC" w:rsidRDefault="00AC20FC">
            <w:pPr>
              <w:spacing w:after="0" w:line="240" w:lineRule="auto"/>
            </w:pPr>
          </w:p>
        </w:tc>
      </w:tr>
      <w:tr w:rsidR="00AC20FC" w14:paraId="4E42654E" w14:textId="77777777">
        <w:trPr>
          <w:jc w:val="center"/>
        </w:trPr>
        <w:tc>
          <w:tcPr>
            <w:tcW w:w="2951" w:type="dxa"/>
            <w:vAlign w:val="center"/>
          </w:tcPr>
          <w:p w14:paraId="1E1EA740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Admin/configuration module</w:t>
            </w:r>
          </w:p>
        </w:tc>
        <w:tc>
          <w:tcPr>
            <w:tcW w:w="1655" w:type="dxa"/>
            <w:shd w:val="clear" w:color="auto" w:fill="FFF2CC"/>
            <w:vAlign w:val="center"/>
          </w:tcPr>
          <w:p w14:paraId="19030D08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Optional</w:t>
            </w:r>
          </w:p>
        </w:tc>
        <w:tc>
          <w:tcPr>
            <w:tcW w:w="5976" w:type="dxa"/>
            <w:vAlign w:val="center"/>
          </w:tcPr>
          <w:p w14:paraId="2517AA06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Useful for managing supported symbols, expiries, and user access.</w:t>
            </w:r>
          </w:p>
        </w:tc>
        <w:tc>
          <w:tcPr>
            <w:tcW w:w="1655" w:type="dxa"/>
            <w:vAlign w:val="center"/>
          </w:tcPr>
          <w:p w14:paraId="17E271E9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6538C74B" w14:textId="77777777" w:rsidR="00AC20FC" w:rsidRDefault="00AC20FC">
            <w:pPr>
              <w:spacing w:after="0" w:line="240" w:lineRule="auto"/>
            </w:pPr>
          </w:p>
        </w:tc>
      </w:tr>
    </w:tbl>
    <w:p w14:paraId="6435521A" w14:textId="77777777" w:rsidR="00AC20FC" w:rsidRDefault="00AC20FC"/>
    <w:p w14:paraId="6C9B9772" w14:textId="77777777" w:rsidR="00AC20FC" w:rsidRDefault="00000000">
      <w:pPr>
        <w:pStyle w:val="Heading2"/>
      </w:pPr>
      <w:r>
        <w:rPr>
          <w:b/>
          <w:sz w:val="25"/>
        </w:rPr>
        <w:t>Authentication and User Management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1655"/>
        <w:gridCol w:w="5976"/>
        <w:gridCol w:w="1655"/>
        <w:gridCol w:w="2951"/>
      </w:tblGrid>
      <w:tr w:rsidR="00AC20FC" w14:paraId="0A7154CF" w14:textId="77777777">
        <w:trPr>
          <w:jc w:val="center"/>
        </w:trPr>
        <w:tc>
          <w:tcPr>
            <w:tcW w:w="2951" w:type="dxa"/>
            <w:shd w:val="clear" w:color="auto" w:fill="1F4E79"/>
            <w:vAlign w:val="center"/>
          </w:tcPr>
          <w:p w14:paraId="280DCEC0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1655" w:type="dxa"/>
            <w:shd w:val="clear" w:color="auto" w:fill="1F4E79"/>
            <w:vAlign w:val="center"/>
          </w:tcPr>
          <w:p w14:paraId="34C1699A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Suggested Need</w:t>
            </w:r>
          </w:p>
        </w:tc>
        <w:tc>
          <w:tcPr>
            <w:tcW w:w="5976" w:type="dxa"/>
            <w:shd w:val="clear" w:color="auto" w:fill="1F4E79"/>
            <w:vAlign w:val="center"/>
          </w:tcPr>
          <w:p w14:paraId="7AFD0837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Comment</w:t>
            </w:r>
          </w:p>
        </w:tc>
        <w:tc>
          <w:tcPr>
            <w:tcW w:w="1655" w:type="dxa"/>
            <w:shd w:val="clear" w:color="auto" w:fill="1F4E79"/>
            <w:vAlign w:val="center"/>
          </w:tcPr>
          <w:p w14:paraId="58312CED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2951" w:type="dxa"/>
            <w:shd w:val="clear" w:color="auto" w:fill="1F4E79"/>
            <w:vAlign w:val="center"/>
          </w:tcPr>
          <w:p w14:paraId="71955F2E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 w:rsidR="00AC20FC" w14:paraId="303AE6B6" w14:textId="77777777">
        <w:trPr>
          <w:jc w:val="center"/>
        </w:trPr>
        <w:tc>
          <w:tcPr>
            <w:tcW w:w="2951" w:type="dxa"/>
            <w:vAlign w:val="center"/>
          </w:tcPr>
          <w:p w14:paraId="38CF4EA9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User registration and login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04096B7C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786D2F76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Use ASP.NET Core Identity.</w:t>
            </w:r>
          </w:p>
        </w:tc>
        <w:tc>
          <w:tcPr>
            <w:tcW w:w="1655" w:type="dxa"/>
            <w:vAlign w:val="center"/>
          </w:tcPr>
          <w:p w14:paraId="0FC2C3A5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3DD85B7F" w14:textId="77777777" w:rsidR="00AC20FC" w:rsidRDefault="00AC20FC">
            <w:pPr>
              <w:spacing w:after="0" w:line="240" w:lineRule="auto"/>
            </w:pPr>
          </w:p>
        </w:tc>
      </w:tr>
      <w:tr w:rsidR="00AC20FC" w14:paraId="5126DB80" w14:textId="77777777">
        <w:trPr>
          <w:jc w:val="center"/>
        </w:trPr>
        <w:tc>
          <w:tcPr>
            <w:tcW w:w="2951" w:type="dxa"/>
            <w:vAlign w:val="center"/>
          </w:tcPr>
          <w:p w14:paraId="5EB1AA35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Google/Gmail login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60DBA824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65CE54B4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Use Google OAuth with ASP.NET Core Identity external login.</w:t>
            </w:r>
          </w:p>
        </w:tc>
        <w:tc>
          <w:tcPr>
            <w:tcW w:w="1655" w:type="dxa"/>
            <w:vAlign w:val="center"/>
          </w:tcPr>
          <w:p w14:paraId="37945F3F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5216D644" w14:textId="77777777" w:rsidR="00AC20FC" w:rsidRDefault="00AC20FC">
            <w:pPr>
              <w:spacing w:after="0" w:line="240" w:lineRule="auto"/>
            </w:pPr>
          </w:p>
        </w:tc>
      </w:tr>
      <w:tr w:rsidR="00AC20FC" w14:paraId="34FE411D" w14:textId="77777777">
        <w:trPr>
          <w:jc w:val="center"/>
        </w:trPr>
        <w:tc>
          <w:tcPr>
            <w:tcW w:w="2951" w:type="dxa"/>
            <w:vAlign w:val="center"/>
          </w:tcPr>
          <w:p w14:paraId="5ABF8D72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Email confirmation and password reset</w:t>
            </w:r>
          </w:p>
        </w:tc>
        <w:tc>
          <w:tcPr>
            <w:tcW w:w="1655" w:type="dxa"/>
            <w:shd w:val="clear" w:color="auto" w:fill="D9EAF7"/>
            <w:vAlign w:val="center"/>
          </w:tcPr>
          <w:p w14:paraId="01A2475A" w14:textId="452FBF55" w:rsidR="00AC20FC" w:rsidRDefault="00F65367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4998019D" w14:textId="5F682F3E" w:rsidR="00AC20FC" w:rsidRDefault="00000000">
            <w:pPr>
              <w:spacing w:after="0" w:line="240" w:lineRule="auto"/>
            </w:pPr>
            <w:r>
              <w:rPr>
                <w:sz w:val="16"/>
              </w:rPr>
              <w:t>Requires email provider setup; important for production.</w:t>
            </w:r>
            <w:r w:rsidR="00F65367">
              <w:rPr>
                <w:sz w:val="16"/>
              </w:rPr>
              <w:t xml:space="preserve"> Use .net core inbuild email services like </w:t>
            </w:r>
            <w:proofErr w:type="spellStart"/>
            <w:r w:rsidR="00F65367" w:rsidRPr="00F65367">
              <w:rPr>
                <w:sz w:val="16"/>
              </w:rPr>
              <w:t>System.Net.Mail</w:t>
            </w:r>
            <w:proofErr w:type="spellEnd"/>
          </w:p>
        </w:tc>
        <w:tc>
          <w:tcPr>
            <w:tcW w:w="1655" w:type="dxa"/>
            <w:vAlign w:val="center"/>
          </w:tcPr>
          <w:p w14:paraId="6782CD89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2013DC7C" w14:textId="77777777" w:rsidR="00AC20FC" w:rsidRDefault="00AC20FC">
            <w:pPr>
              <w:spacing w:after="0" w:line="240" w:lineRule="auto"/>
            </w:pPr>
          </w:p>
        </w:tc>
      </w:tr>
      <w:tr w:rsidR="00AC20FC" w14:paraId="3A8F2348" w14:textId="77777777">
        <w:trPr>
          <w:jc w:val="center"/>
        </w:trPr>
        <w:tc>
          <w:tcPr>
            <w:tcW w:w="2951" w:type="dxa"/>
            <w:vAlign w:val="center"/>
          </w:tcPr>
          <w:p w14:paraId="1914B4A1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Roles and access control</w:t>
            </w:r>
          </w:p>
        </w:tc>
        <w:tc>
          <w:tcPr>
            <w:tcW w:w="1655" w:type="dxa"/>
            <w:shd w:val="clear" w:color="auto" w:fill="D9EAF7"/>
            <w:vAlign w:val="center"/>
          </w:tcPr>
          <w:p w14:paraId="4A6235B7" w14:textId="71E95F2A" w:rsidR="00AC20FC" w:rsidRDefault="00F65367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34B39448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Useful for admin/user separation and future subscription control.</w:t>
            </w:r>
          </w:p>
        </w:tc>
        <w:tc>
          <w:tcPr>
            <w:tcW w:w="1655" w:type="dxa"/>
            <w:vAlign w:val="center"/>
          </w:tcPr>
          <w:p w14:paraId="684C7016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5774E557" w14:textId="77777777" w:rsidR="00AC20FC" w:rsidRDefault="00AC20FC">
            <w:pPr>
              <w:spacing w:after="0" w:line="240" w:lineRule="auto"/>
            </w:pPr>
          </w:p>
        </w:tc>
      </w:tr>
      <w:tr w:rsidR="00AC20FC" w14:paraId="4DAF5CF7" w14:textId="77777777">
        <w:trPr>
          <w:jc w:val="center"/>
        </w:trPr>
        <w:tc>
          <w:tcPr>
            <w:tcW w:w="2951" w:type="dxa"/>
            <w:vAlign w:val="center"/>
          </w:tcPr>
          <w:p w14:paraId="2049517B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Paid identity provider such as Auth0/Okta</w:t>
            </w:r>
          </w:p>
        </w:tc>
        <w:tc>
          <w:tcPr>
            <w:tcW w:w="1655" w:type="dxa"/>
            <w:shd w:val="clear" w:color="auto" w:fill="EADCF8"/>
            <w:vAlign w:val="center"/>
          </w:tcPr>
          <w:p w14:paraId="37C7AABC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Not Needed</w:t>
            </w:r>
          </w:p>
        </w:tc>
        <w:tc>
          <w:tcPr>
            <w:tcW w:w="5976" w:type="dxa"/>
            <w:vAlign w:val="center"/>
          </w:tcPr>
          <w:p w14:paraId="01EDB9FB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ASP.NET Core Identity is enough unless enterprise SSO is required.</w:t>
            </w:r>
          </w:p>
        </w:tc>
        <w:tc>
          <w:tcPr>
            <w:tcW w:w="1655" w:type="dxa"/>
            <w:vAlign w:val="center"/>
          </w:tcPr>
          <w:p w14:paraId="180470D5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7D695A05" w14:textId="77777777" w:rsidR="00AC20FC" w:rsidRDefault="00AC20FC">
            <w:pPr>
              <w:spacing w:after="0" w:line="240" w:lineRule="auto"/>
            </w:pPr>
          </w:p>
        </w:tc>
      </w:tr>
    </w:tbl>
    <w:p w14:paraId="5B8E3FFA" w14:textId="77777777" w:rsidR="00AC20FC" w:rsidRDefault="00AC20FC"/>
    <w:p w14:paraId="7B394843" w14:textId="77777777" w:rsidR="00AC20FC" w:rsidRDefault="00000000">
      <w:pPr>
        <w:pStyle w:val="Heading2"/>
      </w:pPr>
      <w:r>
        <w:rPr>
          <w:b/>
          <w:sz w:val="25"/>
        </w:rPr>
        <w:t>Market Data and Broker Integration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1655"/>
        <w:gridCol w:w="5976"/>
        <w:gridCol w:w="1655"/>
        <w:gridCol w:w="2951"/>
      </w:tblGrid>
      <w:tr w:rsidR="00AC20FC" w14:paraId="6F1D858A" w14:textId="77777777">
        <w:trPr>
          <w:jc w:val="center"/>
        </w:trPr>
        <w:tc>
          <w:tcPr>
            <w:tcW w:w="2951" w:type="dxa"/>
            <w:shd w:val="clear" w:color="auto" w:fill="1F4E79"/>
            <w:vAlign w:val="center"/>
          </w:tcPr>
          <w:p w14:paraId="5F962880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1655" w:type="dxa"/>
            <w:shd w:val="clear" w:color="auto" w:fill="1F4E79"/>
            <w:vAlign w:val="center"/>
          </w:tcPr>
          <w:p w14:paraId="1E9CA193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Suggested Need</w:t>
            </w:r>
          </w:p>
        </w:tc>
        <w:tc>
          <w:tcPr>
            <w:tcW w:w="5976" w:type="dxa"/>
            <w:shd w:val="clear" w:color="auto" w:fill="1F4E79"/>
            <w:vAlign w:val="center"/>
          </w:tcPr>
          <w:p w14:paraId="79EF4D87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Comment</w:t>
            </w:r>
          </w:p>
        </w:tc>
        <w:tc>
          <w:tcPr>
            <w:tcW w:w="1655" w:type="dxa"/>
            <w:shd w:val="clear" w:color="auto" w:fill="1F4E79"/>
            <w:vAlign w:val="center"/>
          </w:tcPr>
          <w:p w14:paraId="6C7E3F08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2951" w:type="dxa"/>
            <w:shd w:val="clear" w:color="auto" w:fill="1F4E79"/>
            <w:vAlign w:val="center"/>
          </w:tcPr>
          <w:p w14:paraId="42451403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 w:rsidR="00AC20FC" w14:paraId="780D26BF" w14:textId="77777777">
        <w:trPr>
          <w:jc w:val="center"/>
        </w:trPr>
        <w:tc>
          <w:tcPr>
            <w:tcW w:w="2951" w:type="dxa"/>
            <w:vAlign w:val="center"/>
          </w:tcPr>
          <w:p w14:paraId="5A98DFCA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Dhan client id and access token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35CE2E83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41DB212B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Required for DhanHQ REST APIs and WebSocket market feed.</w:t>
            </w:r>
          </w:p>
        </w:tc>
        <w:tc>
          <w:tcPr>
            <w:tcW w:w="1655" w:type="dxa"/>
            <w:vAlign w:val="center"/>
          </w:tcPr>
          <w:p w14:paraId="0E9456B3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6BCECFF7" w14:textId="77777777" w:rsidR="00AC20FC" w:rsidRDefault="00AC20FC">
            <w:pPr>
              <w:spacing w:after="0" w:line="240" w:lineRule="auto"/>
            </w:pPr>
          </w:p>
        </w:tc>
      </w:tr>
      <w:tr w:rsidR="00AC20FC" w14:paraId="71FC6247" w14:textId="77777777">
        <w:trPr>
          <w:jc w:val="center"/>
        </w:trPr>
        <w:tc>
          <w:tcPr>
            <w:tcW w:w="2951" w:type="dxa"/>
            <w:vAlign w:val="center"/>
          </w:tcPr>
          <w:p w14:paraId="2B945C82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Dhan live WebSocket feed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75ADA916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223CA43C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Required for live LTP, OI movement, and dashboard updates.</w:t>
            </w:r>
          </w:p>
        </w:tc>
        <w:tc>
          <w:tcPr>
            <w:tcW w:w="1655" w:type="dxa"/>
            <w:vAlign w:val="center"/>
          </w:tcPr>
          <w:p w14:paraId="0B75535D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2F0BC7CA" w14:textId="77777777" w:rsidR="00AC20FC" w:rsidRDefault="00AC20FC">
            <w:pPr>
              <w:spacing w:after="0" w:line="240" w:lineRule="auto"/>
            </w:pPr>
          </w:p>
        </w:tc>
      </w:tr>
      <w:tr w:rsidR="00AC20FC" w14:paraId="0C1977A5" w14:textId="77777777">
        <w:trPr>
          <w:jc w:val="center"/>
        </w:trPr>
        <w:tc>
          <w:tcPr>
            <w:tcW w:w="2951" w:type="dxa"/>
            <w:vAlign w:val="center"/>
          </w:tcPr>
          <w:p w14:paraId="7A532C16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Dhan option-chain API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63CF3037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1E79A14C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Provides strikes, OI, Greeks, IV, volume, bid/ask, and last price.</w:t>
            </w:r>
          </w:p>
        </w:tc>
        <w:tc>
          <w:tcPr>
            <w:tcW w:w="1655" w:type="dxa"/>
            <w:vAlign w:val="center"/>
          </w:tcPr>
          <w:p w14:paraId="3B2DA8FE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61B8DD95" w14:textId="77777777" w:rsidR="00AC20FC" w:rsidRDefault="00AC20FC">
            <w:pPr>
              <w:spacing w:after="0" w:line="240" w:lineRule="auto"/>
            </w:pPr>
          </w:p>
        </w:tc>
      </w:tr>
      <w:tr w:rsidR="00AC20FC" w14:paraId="4D8BE7DB" w14:textId="77777777">
        <w:trPr>
          <w:jc w:val="center"/>
        </w:trPr>
        <w:tc>
          <w:tcPr>
            <w:tcW w:w="2951" w:type="dxa"/>
            <w:vAlign w:val="center"/>
          </w:tcPr>
          <w:p w14:paraId="480FB89A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Dhan historical data API</w:t>
            </w:r>
          </w:p>
        </w:tc>
        <w:tc>
          <w:tcPr>
            <w:tcW w:w="1655" w:type="dxa"/>
            <w:shd w:val="clear" w:color="auto" w:fill="D9EAF7"/>
            <w:vAlign w:val="center"/>
          </w:tcPr>
          <w:p w14:paraId="1E29C69C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Recommended</w:t>
            </w:r>
          </w:p>
        </w:tc>
        <w:tc>
          <w:tcPr>
            <w:tcW w:w="5976" w:type="dxa"/>
            <w:vAlign w:val="center"/>
          </w:tcPr>
          <w:p w14:paraId="43B52045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Needed for charts, previous movement comparison, and backtesting.</w:t>
            </w:r>
          </w:p>
        </w:tc>
        <w:tc>
          <w:tcPr>
            <w:tcW w:w="1655" w:type="dxa"/>
            <w:vAlign w:val="center"/>
          </w:tcPr>
          <w:p w14:paraId="16A3C97E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247592C2" w14:textId="77777777" w:rsidR="00AC20FC" w:rsidRDefault="00AC20FC">
            <w:pPr>
              <w:spacing w:after="0" w:line="240" w:lineRule="auto"/>
            </w:pPr>
          </w:p>
        </w:tc>
      </w:tr>
      <w:tr w:rsidR="00AC20FC" w14:paraId="30100859" w14:textId="77777777">
        <w:trPr>
          <w:jc w:val="center"/>
        </w:trPr>
        <w:tc>
          <w:tcPr>
            <w:tcW w:w="2951" w:type="dxa"/>
            <w:vAlign w:val="center"/>
          </w:tcPr>
          <w:p w14:paraId="0B4A8C10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Alternative paid market data vendor</w:t>
            </w:r>
          </w:p>
        </w:tc>
        <w:tc>
          <w:tcPr>
            <w:tcW w:w="1655" w:type="dxa"/>
            <w:shd w:val="clear" w:color="auto" w:fill="FFF2CC"/>
            <w:vAlign w:val="center"/>
          </w:tcPr>
          <w:p w14:paraId="45EBEA93" w14:textId="7DBD686D" w:rsidR="00AC20FC" w:rsidRDefault="00F65367">
            <w:pPr>
              <w:spacing w:after="0" w:line="240" w:lineRule="auto"/>
            </w:pPr>
            <w:r>
              <w:rPr>
                <w:b/>
                <w:sz w:val="16"/>
              </w:rPr>
              <w:t>Not Needed</w:t>
            </w:r>
          </w:p>
        </w:tc>
        <w:tc>
          <w:tcPr>
            <w:tcW w:w="5976" w:type="dxa"/>
            <w:vAlign w:val="center"/>
          </w:tcPr>
          <w:p w14:paraId="0692DC0D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Only needed if Dhan limits, latency, or licensing do not satisfy requirements.</w:t>
            </w:r>
          </w:p>
        </w:tc>
        <w:tc>
          <w:tcPr>
            <w:tcW w:w="1655" w:type="dxa"/>
            <w:vAlign w:val="center"/>
          </w:tcPr>
          <w:p w14:paraId="4B109F9C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57C8090C" w14:textId="77777777" w:rsidR="00AC20FC" w:rsidRDefault="00AC20FC">
            <w:pPr>
              <w:spacing w:after="0" w:line="240" w:lineRule="auto"/>
            </w:pPr>
          </w:p>
        </w:tc>
      </w:tr>
      <w:tr w:rsidR="00AC20FC" w14:paraId="2F1FCC75" w14:textId="77777777">
        <w:trPr>
          <w:jc w:val="center"/>
        </w:trPr>
        <w:tc>
          <w:tcPr>
            <w:tcW w:w="2951" w:type="dxa"/>
            <w:vAlign w:val="center"/>
          </w:tcPr>
          <w:p w14:paraId="721D02E4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Direct browser connection to Dhan</w:t>
            </w:r>
          </w:p>
        </w:tc>
        <w:tc>
          <w:tcPr>
            <w:tcW w:w="1655" w:type="dxa"/>
            <w:shd w:val="clear" w:color="auto" w:fill="EADCF8"/>
            <w:vAlign w:val="center"/>
          </w:tcPr>
          <w:p w14:paraId="5E04C662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Not Needed</w:t>
            </w:r>
          </w:p>
        </w:tc>
        <w:tc>
          <w:tcPr>
            <w:tcW w:w="5976" w:type="dxa"/>
            <w:vAlign w:val="center"/>
          </w:tcPr>
          <w:p w14:paraId="783B8A9E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Backend should connect to Dhan and stream normalized data to frontend.</w:t>
            </w:r>
          </w:p>
        </w:tc>
        <w:tc>
          <w:tcPr>
            <w:tcW w:w="1655" w:type="dxa"/>
            <w:vAlign w:val="center"/>
          </w:tcPr>
          <w:p w14:paraId="1F41DA9E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3C6CA5C2" w14:textId="77777777" w:rsidR="00AC20FC" w:rsidRDefault="00AC20FC">
            <w:pPr>
              <w:spacing w:after="0" w:line="240" w:lineRule="auto"/>
            </w:pPr>
          </w:p>
        </w:tc>
      </w:tr>
    </w:tbl>
    <w:p w14:paraId="71F37B31" w14:textId="77777777" w:rsidR="00AC20FC" w:rsidRDefault="00AC20FC"/>
    <w:p w14:paraId="24CA0D13" w14:textId="77777777" w:rsidR="00AC20FC" w:rsidRDefault="00000000">
      <w:pPr>
        <w:pStyle w:val="Heading2"/>
      </w:pPr>
      <w:r>
        <w:rPr>
          <w:b/>
          <w:sz w:val="25"/>
        </w:rPr>
        <w:lastRenderedPageBreak/>
        <w:t>Analytics and Trading Signals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1655"/>
        <w:gridCol w:w="5976"/>
        <w:gridCol w:w="1655"/>
        <w:gridCol w:w="2951"/>
      </w:tblGrid>
      <w:tr w:rsidR="00AC20FC" w14:paraId="545F6C8E" w14:textId="77777777">
        <w:trPr>
          <w:jc w:val="center"/>
        </w:trPr>
        <w:tc>
          <w:tcPr>
            <w:tcW w:w="2951" w:type="dxa"/>
            <w:shd w:val="clear" w:color="auto" w:fill="1F4E79"/>
            <w:vAlign w:val="center"/>
          </w:tcPr>
          <w:p w14:paraId="7664588F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1655" w:type="dxa"/>
            <w:shd w:val="clear" w:color="auto" w:fill="1F4E79"/>
            <w:vAlign w:val="center"/>
          </w:tcPr>
          <w:p w14:paraId="02A64ACF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Suggested Need</w:t>
            </w:r>
          </w:p>
        </w:tc>
        <w:tc>
          <w:tcPr>
            <w:tcW w:w="5976" w:type="dxa"/>
            <w:shd w:val="clear" w:color="auto" w:fill="1F4E79"/>
            <w:vAlign w:val="center"/>
          </w:tcPr>
          <w:p w14:paraId="40908732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Comment</w:t>
            </w:r>
          </w:p>
        </w:tc>
        <w:tc>
          <w:tcPr>
            <w:tcW w:w="1655" w:type="dxa"/>
            <w:shd w:val="clear" w:color="auto" w:fill="1F4E79"/>
            <w:vAlign w:val="center"/>
          </w:tcPr>
          <w:p w14:paraId="039F5227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2951" w:type="dxa"/>
            <w:shd w:val="clear" w:color="auto" w:fill="1F4E79"/>
            <w:vAlign w:val="center"/>
          </w:tcPr>
          <w:p w14:paraId="121F4324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 w:rsidR="00AC20FC" w14:paraId="589C9723" w14:textId="77777777">
        <w:trPr>
          <w:jc w:val="center"/>
        </w:trPr>
        <w:tc>
          <w:tcPr>
            <w:tcW w:w="2951" w:type="dxa"/>
            <w:vAlign w:val="center"/>
          </w:tcPr>
          <w:p w14:paraId="6BD4716E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RSI, VWAP, price action calculations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50106DBD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214ED157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Can be calculated in backend from live/historical data.</w:t>
            </w:r>
          </w:p>
        </w:tc>
        <w:tc>
          <w:tcPr>
            <w:tcW w:w="1655" w:type="dxa"/>
            <w:vAlign w:val="center"/>
          </w:tcPr>
          <w:p w14:paraId="67C1BCBC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0E72791A" w14:textId="77777777" w:rsidR="00AC20FC" w:rsidRDefault="00AC20FC">
            <w:pPr>
              <w:spacing w:after="0" w:line="240" w:lineRule="auto"/>
            </w:pPr>
          </w:p>
        </w:tc>
      </w:tr>
      <w:tr w:rsidR="00AC20FC" w14:paraId="634A4120" w14:textId="77777777">
        <w:trPr>
          <w:jc w:val="center"/>
        </w:trPr>
        <w:tc>
          <w:tcPr>
            <w:tcW w:w="2951" w:type="dxa"/>
            <w:vAlign w:val="center"/>
          </w:tcPr>
          <w:p w14:paraId="0A5EF881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OI analysis and OI change heatmap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787017B8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7F4AEA25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Central feature from the screenshots.</w:t>
            </w:r>
          </w:p>
        </w:tc>
        <w:tc>
          <w:tcPr>
            <w:tcW w:w="1655" w:type="dxa"/>
            <w:vAlign w:val="center"/>
          </w:tcPr>
          <w:p w14:paraId="78059AD4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0A11ADEE" w14:textId="77777777" w:rsidR="00AC20FC" w:rsidRDefault="00AC20FC">
            <w:pPr>
              <w:spacing w:after="0" w:line="240" w:lineRule="auto"/>
            </w:pPr>
          </w:p>
        </w:tc>
      </w:tr>
      <w:tr w:rsidR="00AC20FC" w14:paraId="586B7AB0" w14:textId="77777777">
        <w:trPr>
          <w:jc w:val="center"/>
        </w:trPr>
        <w:tc>
          <w:tcPr>
            <w:tcW w:w="2951" w:type="dxa"/>
            <w:vAlign w:val="center"/>
          </w:tcPr>
          <w:p w14:paraId="32B15546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PCR, volume PCR, OI PCR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58212071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09E669DE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Shown in bottom analytics and useful for sentiment.</w:t>
            </w:r>
          </w:p>
        </w:tc>
        <w:tc>
          <w:tcPr>
            <w:tcW w:w="1655" w:type="dxa"/>
            <w:vAlign w:val="center"/>
          </w:tcPr>
          <w:p w14:paraId="677822D1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06DC9C79" w14:textId="77777777" w:rsidR="00AC20FC" w:rsidRDefault="00AC20FC">
            <w:pPr>
              <w:spacing w:after="0" w:line="240" w:lineRule="auto"/>
            </w:pPr>
          </w:p>
        </w:tc>
      </w:tr>
      <w:tr w:rsidR="00AC20FC" w14:paraId="14DC4E30" w14:textId="77777777">
        <w:trPr>
          <w:jc w:val="center"/>
        </w:trPr>
        <w:tc>
          <w:tcPr>
            <w:tcW w:w="2951" w:type="dxa"/>
            <w:vAlign w:val="center"/>
          </w:tcPr>
          <w:p w14:paraId="2E4E9CA3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IV, Delta, Gamma, Theta display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18DBE5DF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470E4885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Available from option-chain data and shown in screenshots.</w:t>
            </w:r>
          </w:p>
        </w:tc>
        <w:tc>
          <w:tcPr>
            <w:tcW w:w="1655" w:type="dxa"/>
            <w:vAlign w:val="center"/>
          </w:tcPr>
          <w:p w14:paraId="0A00EC1D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606EC72F" w14:textId="77777777" w:rsidR="00AC20FC" w:rsidRDefault="00AC20FC">
            <w:pPr>
              <w:spacing w:after="0" w:line="240" w:lineRule="auto"/>
            </w:pPr>
          </w:p>
        </w:tc>
      </w:tr>
      <w:tr w:rsidR="00AC20FC" w14:paraId="3595F45F" w14:textId="77777777">
        <w:trPr>
          <w:jc w:val="center"/>
        </w:trPr>
        <w:tc>
          <w:tcPr>
            <w:tcW w:w="2951" w:type="dxa"/>
            <w:vAlign w:val="center"/>
          </w:tcPr>
          <w:p w14:paraId="62B0416E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Support and resistance per strike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1ECB096E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6E358D16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Shown as a strike-click feature.</w:t>
            </w:r>
          </w:p>
        </w:tc>
        <w:tc>
          <w:tcPr>
            <w:tcW w:w="1655" w:type="dxa"/>
            <w:vAlign w:val="center"/>
          </w:tcPr>
          <w:p w14:paraId="177273D0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1CD1BEEB" w14:textId="77777777" w:rsidR="00AC20FC" w:rsidRDefault="00AC20FC">
            <w:pPr>
              <w:spacing w:after="0" w:line="240" w:lineRule="auto"/>
            </w:pPr>
          </w:p>
        </w:tc>
      </w:tr>
      <w:tr w:rsidR="00AC20FC" w14:paraId="60B424B2" w14:textId="77777777">
        <w:trPr>
          <w:jc w:val="center"/>
        </w:trPr>
        <w:tc>
          <w:tcPr>
            <w:tcW w:w="2951" w:type="dxa"/>
            <w:vAlign w:val="center"/>
          </w:tcPr>
          <w:p w14:paraId="54CCA06D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Gann levels</w:t>
            </w:r>
          </w:p>
        </w:tc>
        <w:tc>
          <w:tcPr>
            <w:tcW w:w="1655" w:type="dxa"/>
            <w:shd w:val="clear" w:color="auto" w:fill="FFF2CC"/>
            <w:vAlign w:val="center"/>
          </w:tcPr>
          <w:p w14:paraId="49334D1D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Optional</w:t>
            </w:r>
          </w:p>
        </w:tc>
        <w:tc>
          <w:tcPr>
            <w:tcW w:w="5976" w:type="dxa"/>
            <w:vAlign w:val="center"/>
          </w:tcPr>
          <w:p w14:paraId="5022315E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Can be implemented if the exact formula/rules are confirmed.</w:t>
            </w:r>
          </w:p>
        </w:tc>
        <w:tc>
          <w:tcPr>
            <w:tcW w:w="1655" w:type="dxa"/>
            <w:vAlign w:val="center"/>
          </w:tcPr>
          <w:p w14:paraId="4ACCC933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2D4F9281" w14:textId="77777777" w:rsidR="00AC20FC" w:rsidRDefault="00AC20FC">
            <w:pPr>
              <w:spacing w:after="0" w:line="240" w:lineRule="auto"/>
            </w:pPr>
          </w:p>
        </w:tc>
      </w:tr>
      <w:tr w:rsidR="00AC20FC" w14:paraId="18F70911" w14:textId="77777777">
        <w:trPr>
          <w:jc w:val="center"/>
        </w:trPr>
        <w:tc>
          <w:tcPr>
            <w:tcW w:w="2951" w:type="dxa"/>
            <w:vAlign w:val="center"/>
          </w:tcPr>
          <w:p w14:paraId="79F0A597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Buy CE / Buy PE recommendation engine</w:t>
            </w:r>
          </w:p>
        </w:tc>
        <w:tc>
          <w:tcPr>
            <w:tcW w:w="1655" w:type="dxa"/>
            <w:shd w:val="clear" w:color="auto" w:fill="FCE5CD"/>
            <w:vAlign w:val="center"/>
          </w:tcPr>
          <w:p w14:paraId="200D8566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Later</w:t>
            </w:r>
          </w:p>
        </w:tc>
        <w:tc>
          <w:tcPr>
            <w:tcW w:w="5976" w:type="dxa"/>
            <w:vAlign w:val="center"/>
          </w:tcPr>
          <w:p w14:paraId="41C35121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Should be built after rules, validation, and backtesting are defined.</w:t>
            </w:r>
          </w:p>
        </w:tc>
        <w:tc>
          <w:tcPr>
            <w:tcW w:w="1655" w:type="dxa"/>
            <w:vAlign w:val="center"/>
          </w:tcPr>
          <w:p w14:paraId="7D0C25DE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5615AF68" w14:textId="77777777" w:rsidR="00AC20FC" w:rsidRDefault="00AC20FC">
            <w:pPr>
              <w:spacing w:after="0" w:line="240" w:lineRule="auto"/>
            </w:pPr>
          </w:p>
        </w:tc>
      </w:tr>
      <w:tr w:rsidR="00AC20FC" w14:paraId="37A7070F" w14:textId="77777777">
        <w:trPr>
          <w:jc w:val="center"/>
        </w:trPr>
        <w:tc>
          <w:tcPr>
            <w:tcW w:w="2951" w:type="dxa"/>
            <w:vAlign w:val="center"/>
          </w:tcPr>
          <w:p w14:paraId="5823944F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Backtesting module</w:t>
            </w:r>
          </w:p>
        </w:tc>
        <w:tc>
          <w:tcPr>
            <w:tcW w:w="1655" w:type="dxa"/>
            <w:shd w:val="clear" w:color="auto" w:fill="D9EAF7"/>
            <w:vAlign w:val="center"/>
          </w:tcPr>
          <w:p w14:paraId="67FD914F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Recommended</w:t>
            </w:r>
          </w:p>
        </w:tc>
        <w:tc>
          <w:tcPr>
            <w:tcW w:w="5976" w:type="dxa"/>
            <w:vAlign w:val="center"/>
          </w:tcPr>
          <w:p w14:paraId="05BC7226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Important before trusting any signal or recommendation.</w:t>
            </w:r>
          </w:p>
        </w:tc>
        <w:tc>
          <w:tcPr>
            <w:tcW w:w="1655" w:type="dxa"/>
            <w:vAlign w:val="center"/>
          </w:tcPr>
          <w:p w14:paraId="2973C53E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5962A028" w14:textId="77777777" w:rsidR="00AC20FC" w:rsidRDefault="00AC20FC">
            <w:pPr>
              <w:spacing w:after="0" w:line="240" w:lineRule="auto"/>
            </w:pPr>
          </w:p>
        </w:tc>
      </w:tr>
      <w:tr w:rsidR="00AC20FC" w14:paraId="3E2C97F2" w14:textId="77777777">
        <w:trPr>
          <w:jc w:val="center"/>
        </w:trPr>
        <w:tc>
          <w:tcPr>
            <w:tcW w:w="2951" w:type="dxa"/>
            <w:vAlign w:val="center"/>
          </w:tcPr>
          <w:p w14:paraId="1DC68CD7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AI/LLM-based recommendations</w:t>
            </w:r>
          </w:p>
        </w:tc>
        <w:tc>
          <w:tcPr>
            <w:tcW w:w="1655" w:type="dxa"/>
            <w:shd w:val="clear" w:color="auto" w:fill="FFF2CC"/>
            <w:vAlign w:val="center"/>
          </w:tcPr>
          <w:p w14:paraId="6515C508" w14:textId="44E84EEA" w:rsidR="00AC20FC" w:rsidRDefault="00F65367">
            <w:pPr>
              <w:spacing w:after="0" w:line="240" w:lineRule="auto"/>
            </w:pPr>
            <w:r>
              <w:rPr>
                <w:b/>
                <w:sz w:val="16"/>
              </w:rPr>
              <w:t>Later</w:t>
            </w:r>
          </w:p>
        </w:tc>
        <w:tc>
          <w:tcPr>
            <w:tcW w:w="5976" w:type="dxa"/>
            <w:vAlign w:val="center"/>
          </w:tcPr>
          <w:p w14:paraId="0F34B533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Not required for MVP; paid if using OpenAI/Azure OpenAI/etc.</w:t>
            </w:r>
          </w:p>
        </w:tc>
        <w:tc>
          <w:tcPr>
            <w:tcW w:w="1655" w:type="dxa"/>
            <w:vAlign w:val="center"/>
          </w:tcPr>
          <w:p w14:paraId="74183194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5F32E29D" w14:textId="77777777" w:rsidR="00AC20FC" w:rsidRDefault="00AC20FC">
            <w:pPr>
              <w:spacing w:after="0" w:line="240" w:lineRule="auto"/>
            </w:pPr>
          </w:p>
        </w:tc>
      </w:tr>
    </w:tbl>
    <w:p w14:paraId="4FCE02DE" w14:textId="77777777" w:rsidR="00AC20FC" w:rsidRDefault="00AC20FC"/>
    <w:p w14:paraId="2D50E454" w14:textId="77777777" w:rsidR="00AC20FC" w:rsidRDefault="00000000">
      <w:pPr>
        <w:pStyle w:val="Heading2"/>
      </w:pPr>
      <w:r>
        <w:rPr>
          <w:b/>
          <w:sz w:val="25"/>
        </w:rPr>
        <w:t>Charts and UI Components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1655"/>
        <w:gridCol w:w="5976"/>
        <w:gridCol w:w="1655"/>
        <w:gridCol w:w="2951"/>
      </w:tblGrid>
      <w:tr w:rsidR="00AC20FC" w14:paraId="545D54DB" w14:textId="77777777">
        <w:trPr>
          <w:jc w:val="center"/>
        </w:trPr>
        <w:tc>
          <w:tcPr>
            <w:tcW w:w="2951" w:type="dxa"/>
            <w:shd w:val="clear" w:color="auto" w:fill="1F4E79"/>
            <w:vAlign w:val="center"/>
          </w:tcPr>
          <w:p w14:paraId="135430A7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1655" w:type="dxa"/>
            <w:shd w:val="clear" w:color="auto" w:fill="1F4E79"/>
            <w:vAlign w:val="center"/>
          </w:tcPr>
          <w:p w14:paraId="1FDB2ABF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Suggested Need</w:t>
            </w:r>
          </w:p>
        </w:tc>
        <w:tc>
          <w:tcPr>
            <w:tcW w:w="5976" w:type="dxa"/>
            <w:shd w:val="clear" w:color="auto" w:fill="1F4E79"/>
            <w:vAlign w:val="center"/>
          </w:tcPr>
          <w:p w14:paraId="36039E14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Comment</w:t>
            </w:r>
          </w:p>
        </w:tc>
        <w:tc>
          <w:tcPr>
            <w:tcW w:w="1655" w:type="dxa"/>
            <w:shd w:val="clear" w:color="auto" w:fill="1F4E79"/>
            <w:vAlign w:val="center"/>
          </w:tcPr>
          <w:p w14:paraId="43D4440D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2951" w:type="dxa"/>
            <w:shd w:val="clear" w:color="auto" w:fill="1F4E79"/>
            <w:vAlign w:val="center"/>
          </w:tcPr>
          <w:p w14:paraId="414377F2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 w:rsidR="00AC20FC" w14:paraId="291E5AEF" w14:textId="77777777">
        <w:trPr>
          <w:jc w:val="center"/>
        </w:trPr>
        <w:tc>
          <w:tcPr>
            <w:tcW w:w="2951" w:type="dxa"/>
            <w:vAlign w:val="center"/>
          </w:tcPr>
          <w:p w14:paraId="1B8D3C83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Candlestick/line chart panel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14573719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70E974D3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Can use open-source charting such as TradingView Lightweight Charts.</w:t>
            </w:r>
          </w:p>
        </w:tc>
        <w:tc>
          <w:tcPr>
            <w:tcW w:w="1655" w:type="dxa"/>
            <w:vAlign w:val="center"/>
          </w:tcPr>
          <w:p w14:paraId="4733AC14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245D449F" w14:textId="77777777" w:rsidR="00AC20FC" w:rsidRDefault="00AC20FC">
            <w:pPr>
              <w:spacing w:after="0" w:line="240" w:lineRule="auto"/>
            </w:pPr>
          </w:p>
        </w:tc>
      </w:tr>
      <w:tr w:rsidR="00AC20FC" w14:paraId="01E2E28B" w14:textId="77777777">
        <w:trPr>
          <w:jc w:val="center"/>
        </w:trPr>
        <w:tc>
          <w:tcPr>
            <w:tcW w:w="2951" w:type="dxa"/>
            <w:vAlign w:val="center"/>
          </w:tcPr>
          <w:p w14:paraId="0C934E21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OI charts: OI change, volume, PCR, buildup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0A291086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646B918F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Shown in screenshots; can be custom chart series.</w:t>
            </w:r>
          </w:p>
        </w:tc>
        <w:tc>
          <w:tcPr>
            <w:tcW w:w="1655" w:type="dxa"/>
            <w:vAlign w:val="center"/>
          </w:tcPr>
          <w:p w14:paraId="0DBC1396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034825E8" w14:textId="77777777" w:rsidR="00AC20FC" w:rsidRDefault="00AC20FC">
            <w:pPr>
              <w:spacing w:after="0" w:line="240" w:lineRule="auto"/>
            </w:pPr>
          </w:p>
        </w:tc>
      </w:tr>
      <w:tr w:rsidR="00AC20FC" w14:paraId="624F505B" w14:textId="77777777">
        <w:trPr>
          <w:jc w:val="center"/>
        </w:trPr>
        <w:tc>
          <w:tcPr>
            <w:tcW w:w="2951" w:type="dxa"/>
            <w:vAlign w:val="center"/>
          </w:tcPr>
          <w:p w14:paraId="781996E2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TradingView Lightweight Charts</w:t>
            </w:r>
          </w:p>
        </w:tc>
        <w:tc>
          <w:tcPr>
            <w:tcW w:w="1655" w:type="dxa"/>
            <w:shd w:val="clear" w:color="auto" w:fill="D9EAF7"/>
            <w:vAlign w:val="center"/>
          </w:tcPr>
          <w:p w14:paraId="08BE4945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Recommended</w:t>
            </w:r>
          </w:p>
        </w:tc>
        <w:tc>
          <w:tcPr>
            <w:tcW w:w="5976" w:type="dxa"/>
            <w:vAlign w:val="center"/>
          </w:tcPr>
          <w:p w14:paraId="070DA0EE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Free/open-source charting library suitable for this use case.</w:t>
            </w:r>
          </w:p>
        </w:tc>
        <w:tc>
          <w:tcPr>
            <w:tcW w:w="1655" w:type="dxa"/>
            <w:vAlign w:val="center"/>
          </w:tcPr>
          <w:p w14:paraId="30E37B2A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21F8D6A6" w14:textId="77777777" w:rsidR="00AC20FC" w:rsidRDefault="00AC20FC">
            <w:pPr>
              <w:spacing w:after="0" w:line="240" w:lineRule="auto"/>
            </w:pPr>
          </w:p>
        </w:tc>
      </w:tr>
      <w:tr w:rsidR="00AC20FC" w14:paraId="726241D7" w14:textId="77777777">
        <w:trPr>
          <w:jc w:val="center"/>
        </w:trPr>
        <w:tc>
          <w:tcPr>
            <w:tcW w:w="2951" w:type="dxa"/>
            <w:vAlign w:val="center"/>
          </w:tcPr>
          <w:p w14:paraId="17CA99CA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Paid TradingView charting library/widget</w:t>
            </w:r>
          </w:p>
        </w:tc>
        <w:tc>
          <w:tcPr>
            <w:tcW w:w="1655" w:type="dxa"/>
            <w:shd w:val="clear" w:color="auto" w:fill="EADCF8"/>
            <w:vAlign w:val="center"/>
          </w:tcPr>
          <w:p w14:paraId="527A8EFB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Not Needed</w:t>
            </w:r>
          </w:p>
        </w:tc>
        <w:tc>
          <w:tcPr>
            <w:tcW w:w="5976" w:type="dxa"/>
            <w:vAlign w:val="center"/>
          </w:tcPr>
          <w:p w14:paraId="42CC20A7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Only needed if proprietary TradingView features are required.</w:t>
            </w:r>
          </w:p>
        </w:tc>
        <w:tc>
          <w:tcPr>
            <w:tcW w:w="1655" w:type="dxa"/>
            <w:vAlign w:val="center"/>
          </w:tcPr>
          <w:p w14:paraId="2C0D8EF8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1F3293F1" w14:textId="77777777" w:rsidR="00AC20FC" w:rsidRDefault="00AC20FC">
            <w:pPr>
              <w:spacing w:after="0" w:line="240" w:lineRule="auto"/>
            </w:pPr>
          </w:p>
        </w:tc>
      </w:tr>
      <w:tr w:rsidR="00AC20FC" w14:paraId="56D53C67" w14:textId="77777777">
        <w:trPr>
          <w:jc w:val="center"/>
        </w:trPr>
        <w:tc>
          <w:tcPr>
            <w:tcW w:w="2951" w:type="dxa"/>
            <w:vAlign w:val="center"/>
          </w:tcPr>
          <w:p w14:paraId="3E84C546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Strike selector and favorites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0690E520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7FB2B62B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Shown in screenshots and useful for fast symbol access.</w:t>
            </w:r>
          </w:p>
        </w:tc>
        <w:tc>
          <w:tcPr>
            <w:tcW w:w="1655" w:type="dxa"/>
            <w:vAlign w:val="center"/>
          </w:tcPr>
          <w:p w14:paraId="06037CA5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4ED18482" w14:textId="77777777" w:rsidR="00AC20FC" w:rsidRDefault="00AC20FC">
            <w:pPr>
              <w:spacing w:after="0" w:line="240" w:lineRule="auto"/>
            </w:pPr>
          </w:p>
        </w:tc>
      </w:tr>
      <w:tr w:rsidR="00AC20FC" w14:paraId="33272C45" w14:textId="77777777">
        <w:trPr>
          <w:jc w:val="center"/>
        </w:trPr>
        <w:tc>
          <w:tcPr>
            <w:tcW w:w="2951" w:type="dxa"/>
            <w:vAlign w:val="center"/>
          </w:tcPr>
          <w:p w14:paraId="4D7B18B4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Export reports to Excel/PDF</w:t>
            </w:r>
          </w:p>
        </w:tc>
        <w:tc>
          <w:tcPr>
            <w:tcW w:w="1655" w:type="dxa"/>
            <w:shd w:val="clear" w:color="auto" w:fill="FFF2CC"/>
            <w:vAlign w:val="center"/>
          </w:tcPr>
          <w:p w14:paraId="066F90B4" w14:textId="2ED304F9" w:rsidR="00AC20FC" w:rsidRDefault="00F65367">
            <w:pPr>
              <w:spacing w:after="0" w:line="240" w:lineRule="auto"/>
            </w:pPr>
            <w:r>
              <w:rPr>
                <w:b/>
                <w:sz w:val="16"/>
              </w:rPr>
              <w:t>Later</w:t>
            </w:r>
          </w:p>
        </w:tc>
        <w:tc>
          <w:tcPr>
            <w:tcW w:w="5976" w:type="dxa"/>
            <w:vAlign w:val="center"/>
          </w:tcPr>
          <w:p w14:paraId="010EFEAB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Useful later, not required for first live dashboard.</w:t>
            </w:r>
          </w:p>
        </w:tc>
        <w:tc>
          <w:tcPr>
            <w:tcW w:w="1655" w:type="dxa"/>
            <w:vAlign w:val="center"/>
          </w:tcPr>
          <w:p w14:paraId="374C9F38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1184EA8F" w14:textId="77777777" w:rsidR="00AC20FC" w:rsidRDefault="00AC20FC">
            <w:pPr>
              <w:spacing w:after="0" w:line="240" w:lineRule="auto"/>
            </w:pPr>
          </w:p>
        </w:tc>
      </w:tr>
    </w:tbl>
    <w:p w14:paraId="00DA0F03" w14:textId="77777777" w:rsidR="00AC20FC" w:rsidRDefault="00AC20FC"/>
    <w:p w14:paraId="487EA58E" w14:textId="77777777" w:rsidR="00AC20FC" w:rsidRDefault="00000000">
      <w:pPr>
        <w:pStyle w:val="Heading2"/>
      </w:pPr>
      <w:r>
        <w:rPr>
          <w:b/>
          <w:sz w:val="25"/>
        </w:rPr>
        <w:t>Infrastructure and Operations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1655"/>
        <w:gridCol w:w="5976"/>
        <w:gridCol w:w="1655"/>
        <w:gridCol w:w="2951"/>
      </w:tblGrid>
      <w:tr w:rsidR="00AC20FC" w14:paraId="5463A793" w14:textId="77777777">
        <w:trPr>
          <w:jc w:val="center"/>
        </w:trPr>
        <w:tc>
          <w:tcPr>
            <w:tcW w:w="2951" w:type="dxa"/>
            <w:shd w:val="clear" w:color="auto" w:fill="1F4E79"/>
            <w:vAlign w:val="center"/>
          </w:tcPr>
          <w:p w14:paraId="3DA20CA8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1655" w:type="dxa"/>
            <w:shd w:val="clear" w:color="auto" w:fill="1F4E79"/>
            <w:vAlign w:val="center"/>
          </w:tcPr>
          <w:p w14:paraId="0CCC66B2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Suggested Need</w:t>
            </w:r>
          </w:p>
        </w:tc>
        <w:tc>
          <w:tcPr>
            <w:tcW w:w="5976" w:type="dxa"/>
            <w:shd w:val="clear" w:color="auto" w:fill="1F4E79"/>
            <w:vAlign w:val="center"/>
          </w:tcPr>
          <w:p w14:paraId="188C7017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Comment</w:t>
            </w:r>
          </w:p>
        </w:tc>
        <w:tc>
          <w:tcPr>
            <w:tcW w:w="1655" w:type="dxa"/>
            <w:shd w:val="clear" w:color="auto" w:fill="1F4E79"/>
            <w:vAlign w:val="center"/>
          </w:tcPr>
          <w:p w14:paraId="5EB4E963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2951" w:type="dxa"/>
            <w:shd w:val="clear" w:color="auto" w:fill="1F4E79"/>
            <w:vAlign w:val="center"/>
          </w:tcPr>
          <w:p w14:paraId="5D6A5C4C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 w:rsidR="00AC20FC" w14:paraId="0AF4409E" w14:textId="77777777">
        <w:trPr>
          <w:jc w:val="center"/>
        </w:trPr>
        <w:tc>
          <w:tcPr>
            <w:tcW w:w="2951" w:type="dxa"/>
            <w:vAlign w:val="center"/>
          </w:tcPr>
          <w:p w14:paraId="0E2095B0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Production hosting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131B27E7" w14:textId="689D6207" w:rsidR="00AC20FC" w:rsidRDefault="00F65367">
            <w:pPr>
              <w:spacing w:after="0" w:line="240" w:lineRule="auto"/>
            </w:pPr>
            <w:r>
              <w:rPr>
                <w:b/>
                <w:sz w:val="16"/>
              </w:rPr>
              <w:t>Later</w:t>
            </w:r>
          </w:p>
        </w:tc>
        <w:tc>
          <w:tcPr>
            <w:tcW w:w="5976" w:type="dxa"/>
            <w:vAlign w:val="center"/>
          </w:tcPr>
          <w:p w14:paraId="13D68DC8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Required when app is deployed for real users; cost depends on provider.</w:t>
            </w:r>
          </w:p>
        </w:tc>
        <w:tc>
          <w:tcPr>
            <w:tcW w:w="1655" w:type="dxa"/>
            <w:vAlign w:val="center"/>
          </w:tcPr>
          <w:p w14:paraId="2909E25D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7B3DBFCE" w14:textId="77777777" w:rsidR="00AC20FC" w:rsidRDefault="00AC20FC">
            <w:pPr>
              <w:spacing w:after="0" w:line="240" w:lineRule="auto"/>
            </w:pPr>
          </w:p>
        </w:tc>
      </w:tr>
      <w:tr w:rsidR="00AC20FC" w14:paraId="57FD5849" w14:textId="77777777">
        <w:trPr>
          <w:jc w:val="center"/>
        </w:trPr>
        <w:tc>
          <w:tcPr>
            <w:tcW w:w="2951" w:type="dxa"/>
            <w:vAlign w:val="center"/>
          </w:tcPr>
          <w:p w14:paraId="575FADC3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Database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0C99ECCE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081E61F2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Stores users, preferences, symbols, snapshots, and audit data.</w:t>
            </w:r>
          </w:p>
        </w:tc>
        <w:tc>
          <w:tcPr>
            <w:tcW w:w="1655" w:type="dxa"/>
            <w:vAlign w:val="center"/>
          </w:tcPr>
          <w:p w14:paraId="10A042DB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6F31790A" w14:textId="77777777" w:rsidR="00AC20FC" w:rsidRDefault="00AC20FC">
            <w:pPr>
              <w:spacing w:after="0" w:line="240" w:lineRule="auto"/>
            </w:pPr>
          </w:p>
        </w:tc>
      </w:tr>
      <w:tr w:rsidR="00AC20FC" w14:paraId="5099DC1C" w14:textId="77777777">
        <w:trPr>
          <w:jc w:val="center"/>
        </w:trPr>
        <w:tc>
          <w:tcPr>
            <w:tcW w:w="2951" w:type="dxa"/>
            <w:vAlign w:val="center"/>
          </w:tcPr>
          <w:p w14:paraId="2D30D8D7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Redis/cache</w:t>
            </w:r>
          </w:p>
        </w:tc>
        <w:tc>
          <w:tcPr>
            <w:tcW w:w="1655" w:type="dxa"/>
            <w:shd w:val="clear" w:color="auto" w:fill="FFF2CC"/>
            <w:vAlign w:val="center"/>
          </w:tcPr>
          <w:p w14:paraId="45FB6E4C" w14:textId="3BDD6063" w:rsidR="00AC20FC" w:rsidRDefault="00F65367">
            <w:pPr>
              <w:spacing w:after="0" w:line="240" w:lineRule="auto"/>
            </w:pPr>
            <w:r>
              <w:rPr>
                <w:b/>
                <w:sz w:val="16"/>
              </w:rPr>
              <w:t>Later</w:t>
            </w:r>
          </w:p>
        </w:tc>
        <w:tc>
          <w:tcPr>
            <w:tcW w:w="5976" w:type="dxa"/>
            <w:vAlign w:val="center"/>
          </w:tcPr>
          <w:p w14:paraId="59C32A4E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Recommended if scaling live data to many users.</w:t>
            </w:r>
          </w:p>
        </w:tc>
        <w:tc>
          <w:tcPr>
            <w:tcW w:w="1655" w:type="dxa"/>
            <w:vAlign w:val="center"/>
          </w:tcPr>
          <w:p w14:paraId="2F3AE43A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01526283" w14:textId="77777777" w:rsidR="00AC20FC" w:rsidRDefault="00AC20FC">
            <w:pPr>
              <w:spacing w:after="0" w:line="240" w:lineRule="auto"/>
            </w:pPr>
          </w:p>
        </w:tc>
      </w:tr>
      <w:tr w:rsidR="00AC20FC" w14:paraId="2F8D0149" w14:textId="77777777">
        <w:trPr>
          <w:jc w:val="center"/>
        </w:trPr>
        <w:tc>
          <w:tcPr>
            <w:tcW w:w="2951" w:type="dxa"/>
            <w:vAlign w:val="center"/>
          </w:tcPr>
          <w:p w14:paraId="399DF192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Background worker service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7B493358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4243B7D8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Required for Dhan feed processing, snapshots, and derived metrics.</w:t>
            </w:r>
          </w:p>
        </w:tc>
        <w:tc>
          <w:tcPr>
            <w:tcW w:w="1655" w:type="dxa"/>
            <w:vAlign w:val="center"/>
          </w:tcPr>
          <w:p w14:paraId="3AF0C37E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41889370" w14:textId="77777777" w:rsidR="00AC20FC" w:rsidRDefault="00AC20FC">
            <w:pPr>
              <w:spacing w:after="0" w:line="240" w:lineRule="auto"/>
            </w:pPr>
          </w:p>
        </w:tc>
      </w:tr>
      <w:tr w:rsidR="00AC20FC" w14:paraId="0C8F1571" w14:textId="77777777">
        <w:trPr>
          <w:jc w:val="center"/>
        </w:trPr>
        <w:tc>
          <w:tcPr>
            <w:tcW w:w="2951" w:type="dxa"/>
            <w:vAlign w:val="center"/>
          </w:tcPr>
          <w:p w14:paraId="4F771FF1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Logging and monitoring</w:t>
            </w:r>
          </w:p>
        </w:tc>
        <w:tc>
          <w:tcPr>
            <w:tcW w:w="1655" w:type="dxa"/>
            <w:shd w:val="clear" w:color="auto" w:fill="D9EAF7"/>
            <w:vAlign w:val="center"/>
          </w:tcPr>
          <w:p w14:paraId="281132E6" w14:textId="10F251C5" w:rsidR="00AC20FC" w:rsidRDefault="00F65367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36DA6CEF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Important for diagnosing feed disconnects and calculation issues.</w:t>
            </w:r>
          </w:p>
        </w:tc>
        <w:tc>
          <w:tcPr>
            <w:tcW w:w="1655" w:type="dxa"/>
            <w:vAlign w:val="center"/>
          </w:tcPr>
          <w:p w14:paraId="7491DC52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1ABE2B47" w14:textId="77777777" w:rsidR="00AC20FC" w:rsidRDefault="00AC20FC">
            <w:pPr>
              <w:spacing w:after="0" w:line="240" w:lineRule="auto"/>
            </w:pPr>
          </w:p>
        </w:tc>
      </w:tr>
      <w:tr w:rsidR="00AC20FC" w14:paraId="7D72653C" w14:textId="77777777">
        <w:trPr>
          <w:jc w:val="center"/>
        </w:trPr>
        <w:tc>
          <w:tcPr>
            <w:tcW w:w="2951" w:type="dxa"/>
            <w:vAlign w:val="center"/>
          </w:tcPr>
          <w:p w14:paraId="683650F0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CI/CD pipeline</w:t>
            </w:r>
          </w:p>
        </w:tc>
        <w:tc>
          <w:tcPr>
            <w:tcW w:w="1655" w:type="dxa"/>
            <w:shd w:val="clear" w:color="auto" w:fill="D9EAF7"/>
            <w:vAlign w:val="center"/>
          </w:tcPr>
          <w:p w14:paraId="06CBEC92" w14:textId="37930769" w:rsidR="00AC20FC" w:rsidRDefault="00F65367">
            <w:pPr>
              <w:spacing w:after="0" w:line="240" w:lineRule="auto"/>
            </w:pPr>
            <w:r>
              <w:rPr>
                <w:b/>
                <w:sz w:val="16"/>
              </w:rPr>
              <w:t>Later</w:t>
            </w:r>
          </w:p>
        </w:tc>
        <w:tc>
          <w:tcPr>
            <w:tcW w:w="5976" w:type="dxa"/>
            <w:vAlign w:val="center"/>
          </w:tcPr>
          <w:p w14:paraId="583F474C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Useful once the project moves beyond prototype.</w:t>
            </w:r>
          </w:p>
        </w:tc>
        <w:tc>
          <w:tcPr>
            <w:tcW w:w="1655" w:type="dxa"/>
            <w:vAlign w:val="center"/>
          </w:tcPr>
          <w:p w14:paraId="0E9F1989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08A357F7" w14:textId="77777777" w:rsidR="00AC20FC" w:rsidRDefault="00AC20FC">
            <w:pPr>
              <w:spacing w:after="0" w:line="240" w:lineRule="auto"/>
            </w:pPr>
          </w:p>
        </w:tc>
      </w:tr>
    </w:tbl>
    <w:p w14:paraId="28A2AC14" w14:textId="77777777" w:rsidR="00AC20FC" w:rsidRDefault="00AC20FC"/>
    <w:p w14:paraId="03B049B8" w14:textId="77777777" w:rsidR="00AC20FC" w:rsidRDefault="00000000">
      <w:pPr>
        <w:pStyle w:val="Heading2"/>
      </w:pPr>
      <w:r>
        <w:rPr>
          <w:b/>
          <w:sz w:val="25"/>
        </w:rPr>
        <w:t>Compliance, Risk, and Product Decisions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1655"/>
        <w:gridCol w:w="5976"/>
        <w:gridCol w:w="1655"/>
        <w:gridCol w:w="2951"/>
      </w:tblGrid>
      <w:tr w:rsidR="00AC20FC" w14:paraId="73E63067" w14:textId="77777777">
        <w:trPr>
          <w:jc w:val="center"/>
        </w:trPr>
        <w:tc>
          <w:tcPr>
            <w:tcW w:w="2951" w:type="dxa"/>
            <w:shd w:val="clear" w:color="auto" w:fill="1F4E79"/>
            <w:vAlign w:val="center"/>
          </w:tcPr>
          <w:p w14:paraId="1D08D224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1655" w:type="dxa"/>
            <w:shd w:val="clear" w:color="auto" w:fill="1F4E79"/>
            <w:vAlign w:val="center"/>
          </w:tcPr>
          <w:p w14:paraId="76726EB0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Suggested Need</w:t>
            </w:r>
          </w:p>
        </w:tc>
        <w:tc>
          <w:tcPr>
            <w:tcW w:w="5976" w:type="dxa"/>
            <w:shd w:val="clear" w:color="auto" w:fill="1F4E79"/>
            <w:vAlign w:val="center"/>
          </w:tcPr>
          <w:p w14:paraId="1F0D5E4F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Comment</w:t>
            </w:r>
          </w:p>
        </w:tc>
        <w:tc>
          <w:tcPr>
            <w:tcW w:w="1655" w:type="dxa"/>
            <w:shd w:val="clear" w:color="auto" w:fill="1F4E79"/>
            <w:vAlign w:val="center"/>
          </w:tcPr>
          <w:p w14:paraId="5EE7C6A7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2951" w:type="dxa"/>
            <w:shd w:val="clear" w:color="auto" w:fill="1F4E79"/>
            <w:vAlign w:val="center"/>
          </w:tcPr>
          <w:p w14:paraId="7CBCD938" w14:textId="77777777" w:rsidR="00AC20F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 w:rsidR="00AC20FC" w14:paraId="28EFEE5A" w14:textId="77777777">
        <w:trPr>
          <w:jc w:val="center"/>
        </w:trPr>
        <w:tc>
          <w:tcPr>
            <w:tcW w:w="2951" w:type="dxa"/>
            <w:vAlign w:val="center"/>
          </w:tcPr>
          <w:p w14:paraId="60DBD162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Trading disclaimer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6BFC8114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50F0CC5C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App should present analytics as decision support, not guaranteed advice.</w:t>
            </w:r>
          </w:p>
        </w:tc>
        <w:tc>
          <w:tcPr>
            <w:tcW w:w="1655" w:type="dxa"/>
            <w:vAlign w:val="center"/>
          </w:tcPr>
          <w:p w14:paraId="40DCB512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6E1B5099" w14:textId="77777777" w:rsidR="00AC20FC" w:rsidRDefault="00AC20FC">
            <w:pPr>
              <w:spacing w:after="0" w:line="240" w:lineRule="auto"/>
            </w:pPr>
          </w:p>
        </w:tc>
      </w:tr>
      <w:tr w:rsidR="00AC20FC" w14:paraId="6C96CF6D" w14:textId="77777777">
        <w:trPr>
          <w:jc w:val="center"/>
        </w:trPr>
        <w:tc>
          <w:tcPr>
            <w:tcW w:w="2951" w:type="dxa"/>
            <w:vAlign w:val="center"/>
          </w:tcPr>
          <w:p w14:paraId="1797B469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Broker/exchange data usage confirmation</w:t>
            </w:r>
          </w:p>
        </w:tc>
        <w:tc>
          <w:tcPr>
            <w:tcW w:w="1655" w:type="dxa"/>
            <w:shd w:val="clear" w:color="auto" w:fill="D9EAD3"/>
            <w:vAlign w:val="center"/>
          </w:tcPr>
          <w:p w14:paraId="31F0DF16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Needed</w:t>
            </w:r>
          </w:p>
        </w:tc>
        <w:tc>
          <w:tcPr>
            <w:tcW w:w="5976" w:type="dxa"/>
            <w:vAlign w:val="center"/>
          </w:tcPr>
          <w:p w14:paraId="00AB18A7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Confirm Dhan and exchange terms for personal/commercial use.</w:t>
            </w:r>
          </w:p>
        </w:tc>
        <w:tc>
          <w:tcPr>
            <w:tcW w:w="1655" w:type="dxa"/>
            <w:vAlign w:val="center"/>
          </w:tcPr>
          <w:p w14:paraId="3EDD60FC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4DDE84BB" w14:textId="77777777" w:rsidR="00AC20FC" w:rsidRDefault="00AC20FC">
            <w:pPr>
              <w:spacing w:after="0" w:line="240" w:lineRule="auto"/>
            </w:pPr>
          </w:p>
        </w:tc>
      </w:tr>
      <w:tr w:rsidR="00AC20FC" w14:paraId="41155DD3" w14:textId="77777777">
        <w:trPr>
          <w:jc w:val="center"/>
        </w:trPr>
        <w:tc>
          <w:tcPr>
            <w:tcW w:w="2951" w:type="dxa"/>
            <w:vAlign w:val="center"/>
          </w:tcPr>
          <w:p w14:paraId="70A06C1A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Order placement/trading execution</w:t>
            </w:r>
          </w:p>
        </w:tc>
        <w:tc>
          <w:tcPr>
            <w:tcW w:w="1655" w:type="dxa"/>
            <w:shd w:val="clear" w:color="auto" w:fill="FCE5CD"/>
            <w:vAlign w:val="center"/>
          </w:tcPr>
          <w:p w14:paraId="556003AD" w14:textId="77777777" w:rsidR="00AC20FC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Later</w:t>
            </w:r>
          </w:p>
        </w:tc>
        <w:tc>
          <w:tcPr>
            <w:tcW w:w="5976" w:type="dxa"/>
            <w:vAlign w:val="center"/>
          </w:tcPr>
          <w:p w14:paraId="5F79E2C8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Not requested directly; adds major regulatory and safety risk.</w:t>
            </w:r>
          </w:p>
        </w:tc>
        <w:tc>
          <w:tcPr>
            <w:tcW w:w="1655" w:type="dxa"/>
            <w:vAlign w:val="center"/>
          </w:tcPr>
          <w:p w14:paraId="61FDF1D0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6632ACA0" w14:textId="77777777" w:rsidR="00AC20FC" w:rsidRDefault="00AC20FC">
            <w:pPr>
              <w:spacing w:after="0" w:line="240" w:lineRule="auto"/>
            </w:pPr>
          </w:p>
        </w:tc>
      </w:tr>
      <w:tr w:rsidR="00AC20FC" w14:paraId="2FCB0459" w14:textId="77777777">
        <w:trPr>
          <w:jc w:val="center"/>
        </w:trPr>
        <w:tc>
          <w:tcPr>
            <w:tcW w:w="2951" w:type="dxa"/>
            <w:vAlign w:val="center"/>
          </w:tcPr>
          <w:p w14:paraId="6BBD507A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User subscription/payment module</w:t>
            </w:r>
          </w:p>
        </w:tc>
        <w:tc>
          <w:tcPr>
            <w:tcW w:w="1655" w:type="dxa"/>
            <w:shd w:val="clear" w:color="auto" w:fill="FFF2CC"/>
            <w:vAlign w:val="center"/>
          </w:tcPr>
          <w:p w14:paraId="58C53694" w14:textId="678FABCA" w:rsidR="00AC20FC" w:rsidRDefault="00F65367">
            <w:pPr>
              <w:spacing w:after="0" w:line="240" w:lineRule="auto"/>
            </w:pPr>
            <w:r>
              <w:rPr>
                <w:b/>
                <w:sz w:val="16"/>
              </w:rPr>
              <w:t>Later</w:t>
            </w:r>
          </w:p>
        </w:tc>
        <w:tc>
          <w:tcPr>
            <w:tcW w:w="5976" w:type="dxa"/>
            <w:vAlign w:val="center"/>
          </w:tcPr>
          <w:p w14:paraId="20CBB917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Only needed if app will be commercialized.</w:t>
            </w:r>
          </w:p>
        </w:tc>
        <w:tc>
          <w:tcPr>
            <w:tcW w:w="1655" w:type="dxa"/>
            <w:vAlign w:val="center"/>
          </w:tcPr>
          <w:p w14:paraId="42885B5B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04258E26" w14:textId="77777777" w:rsidR="00AC20FC" w:rsidRDefault="00AC20FC">
            <w:pPr>
              <w:spacing w:after="0" w:line="240" w:lineRule="auto"/>
            </w:pPr>
          </w:p>
        </w:tc>
      </w:tr>
      <w:tr w:rsidR="00AC20FC" w14:paraId="5C06E4F7" w14:textId="77777777">
        <w:trPr>
          <w:jc w:val="center"/>
        </w:trPr>
        <w:tc>
          <w:tcPr>
            <w:tcW w:w="2951" w:type="dxa"/>
            <w:vAlign w:val="center"/>
          </w:tcPr>
          <w:p w14:paraId="1A729B2F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Audit trail for signals and data</w:t>
            </w:r>
          </w:p>
        </w:tc>
        <w:tc>
          <w:tcPr>
            <w:tcW w:w="1655" w:type="dxa"/>
            <w:shd w:val="clear" w:color="auto" w:fill="D9EAF7"/>
            <w:vAlign w:val="center"/>
          </w:tcPr>
          <w:p w14:paraId="39B80D2D" w14:textId="2B680B39" w:rsidR="00AC20FC" w:rsidRDefault="00F65367">
            <w:pPr>
              <w:spacing w:after="0" w:line="240" w:lineRule="auto"/>
            </w:pPr>
            <w:r>
              <w:rPr>
                <w:b/>
                <w:sz w:val="16"/>
              </w:rPr>
              <w:t>Later</w:t>
            </w:r>
          </w:p>
        </w:tc>
        <w:tc>
          <w:tcPr>
            <w:tcW w:w="5976" w:type="dxa"/>
            <w:vAlign w:val="center"/>
          </w:tcPr>
          <w:p w14:paraId="64DE4C8A" w14:textId="77777777" w:rsidR="00AC20FC" w:rsidRDefault="00000000">
            <w:pPr>
              <w:spacing w:after="0" w:line="240" w:lineRule="auto"/>
            </w:pPr>
            <w:r>
              <w:rPr>
                <w:sz w:val="16"/>
              </w:rPr>
              <w:t>Useful to review why a signal appeared at a particular time.</w:t>
            </w:r>
          </w:p>
        </w:tc>
        <w:tc>
          <w:tcPr>
            <w:tcW w:w="1655" w:type="dxa"/>
            <w:vAlign w:val="center"/>
          </w:tcPr>
          <w:p w14:paraId="3F2B3821" w14:textId="77777777" w:rsidR="00AC20FC" w:rsidRDefault="00AC20FC">
            <w:pPr>
              <w:spacing w:after="0" w:line="240" w:lineRule="auto"/>
            </w:pPr>
          </w:p>
        </w:tc>
        <w:tc>
          <w:tcPr>
            <w:tcW w:w="2951" w:type="dxa"/>
            <w:vAlign w:val="center"/>
          </w:tcPr>
          <w:p w14:paraId="78151656" w14:textId="77777777" w:rsidR="00AC20FC" w:rsidRDefault="00AC20FC">
            <w:pPr>
              <w:spacing w:after="0" w:line="240" w:lineRule="auto"/>
            </w:pPr>
          </w:p>
        </w:tc>
      </w:tr>
    </w:tbl>
    <w:p w14:paraId="0F8ABE29" w14:textId="77777777" w:rsidR="00AC20FC" w:rsidRDefault="00AC20FC"/>
    <w:p w14:paraId="58ADE9FC" w14:textId="77777777" w:rsidR="00AC20FC" w:rsidRDefault="00000000">
      <w:pPr>
        <w:pStyle w:val="Heading2"/>
      </w:pPr>
      <w:r>
        <w:rPr>
          <w:b/>
          <w:sz w:val="25"/>
        </w:rPr>
        <w:t>Initial MVP Recommendation</w:t>
      </w:r>
    </w:p>
    <w:p w14:paraId="22F64024" w14:textId="77777777" w:rsidR="00AC20FC" w:rsidRDefault="00000000">
      <w:r>
        <w:rPr>
          <w:sz w:val="20"/>
        </w:rPr>
        <w:t>1. Build authentication, Dhan integration, live option-chain dashboard, chart panel, strike support/resistance, and OI/IV/Delta/PCR charts first.</w:t>
      </w:r>
    </w:p>
    <w:p w14:paraId="5C076584" w14:textId="77777777" w:rsidR="00AC20FC" w:rsidRDefault="00000000">
      <w:r>
        <w:rPr>
          <w:sz w:val="20"/>
        </w:rPr>
        <w:t>2. Defer automated CE/PE buy recommendations until signal rules are defined and validated through backtesting.</w:t>
      </w:r>
    </w:p>
    <w:p w14:paraId="22CE5AE3" w14:textId="77777777" w:rsidR="00AC20FC" w:rsidRDefault="00000000">
      <w:r>
        <w:rPr>
          <w:sz w:val="20"/>
        </w:rPr>
        <w:t>3. Avoid paid charting and paid identity platforms initially; use ASP.NET Core Identity and open-source charting.</w:t>
      </w:r>
    </w:p>
    <w:p w14:paraId="61817973" w14:textId="77777777" w:rsidR="00AC20FC" w:rsidRDefault="00000000">
      <w:r>
        <w:rPr>
          <w:sz w:val="20"/>
        </w:rPr>
        <w:t>4. Confirm Dhan API/data usage terms before production deployment or commercial use.</w:t>
      </w:r>
    </w:p>
    <w:p w14:paraId="3F1D1974" w14:textId="77777777" w:rsidR="00AC20FC" w:rsidRDefault="00000000">
      <w:r>
        <w:rPr>
          <w:b/>
        </w:rPr>
        <w:t xml:space="preserve">Reference checked: </w:t>
      </w:r>
      <w:r>
        <w:t>DhanHQ API documentation, ASP.NET Core Identity documentation, Google login documentation, React version documentation, .NET support policy, and TradingView Lightweight Charts license/documentation.</w:t>
      </w:r>
    </w:p>
    <w:sectPr w:rsidR="00AC20FC">
      <w:pgSz w:w="16838" w:h="11906" w:orient="landscape"/>
      <w:pgMar w:top="792" w:right="648" w:bottom="792" w:left="64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45D"/>
    <w:multiLevelType w:val="hybridMultilevel"/>
    <w:tmpl w:val="E17E19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81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8EC"/>
    <w:rsid w:val="00377864"/>
    <w:rsid w:val="00383911"/>
    <w:rsid w:val="00410DCB"/>
    <w:rsid w:val="00415744"/>
    <w:rsid w:val="00565B7B"/>
    <w:rsid w:val="005D68EC"/>
    <w:rsid w:val="007218FB"/>
    <w:rsid w:val="00795388"/>
    <w:rsid w:val="009634C2"/>
    <w:rsid w:val="00AC20FC"/>
    <w:rsid w:val="00CF587B"/>
    <w:rsid w:val="00DE5677"/>
    <w:rsid w:val="00F6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1EC0"/>
  <w15:chartTrackingRefBased/>
  <w15:docId w15:val="{47F5A631-250B-44BA-B5F0-0C4FBD98F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1243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</dc:creator>
  <cp:keywords/>
  <dc:description/>
  <cp:lastModifiedBy>suresh kumar</cp:lastModifiedBy>
  <cp:revision>4</cp:revision>
  <dcterms:created xsi:type="dcterms:W3CDTF">2026-06-25T05:06:00Z</dcterms:created>
  <dcterms:modified xsi:type="dcterms:W3CDTF">2026-06-25T06:48:00Z</dcterms:modified>
</cp:coreProperties>
</file>