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8FF21">
      <w:pPr>
        <w:spacing w:before="2400" w:after="240"/>
        <w:jc w:val="center"/>
      </w:pPr>
      <w:r>
        <w:rPr>
          <w:rFonts w:ascii="微软雅黑" w:hAnsi="微软雅黑" w:eastAsia="微软雅黑"/>
          <w:b/>
          <w:i w:val="0"/>
          <w:color w:val="0A1F0A"/>
          <w:sz w:val="56"/>
        </w:rPr>
        <w:t>踢出"超"时代</w:t>
      </w:r>
    </w:p>
    <w:p w14:paraId="1FECE0AF"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E8A820"/>
          <w:sz w:val="44"/>
        </w:rPr>
        <w:t>中国草根足球联赛数据新闻网页</w:t>
      </w:r>
    </w:p>
    <w:p w14:paraId="549912FB">
      <w:pPr>
        <w:spacing w:after="1200"/>
        <w:jc w:val="center"/>
      </w:pPr>
      <w:r>
        <w:rPr>
          <w:rFonts w:ascii="微软雅黑" w:hAnsi="微软雅黑" w:eastAsia="微软雅黑"/>
          <w:b/>
          <w:i w:val="0"/>
          <w:color w:val="8DA680"/>
          <w:sz w:val="36"/>
        </w:rPr>
        <w:t>PRD 产品需求文档</w:t>
      </w:r>
    </w:p>
    <w:p w14:paraId="1780A390">
      <w:pPr>
        <w:jc w:val="center"/>
      </w:pPr>
      <w:r>
        <w:rPr>
          <w:rFonts w:ascii="微软雅黑" w:hAnsi="微软雅黑" w:eastAsia="微软雅黑"/>
          <w:b w:val="0"/>
          <w:i w:val="0"/>
          <w:color w:val="8DA680"/>
          <w:sz w:val="20"/>
        </w:rPr>
        <w:t>V1.0 | 2026年7月</w:t>
      </w:r>
    </w:p>
    <w:p w14:paraId="60C4E66D">
      <w:r>
        <w:br w:type="page"/>
      </w:r>
    </w:p>
    <w:p w14:paraId="0D3035D1">
      <w:pPr>
        <w:spacing w:before="240" w:after="120" w:line="360" w:lineRule="auto"/>
      </w:pPr>
      <w:r>
        <w:rPr>
          <w:rFonts w:ascii="微软雅黑" w:hAnsi="微软雅黑" w:eastAsia="微软雅黑"/>
          <w:b/>
          <w:i w:val="0"/>
          <w:color w:val="0A1F0A"/>
          <w:sz w:val="36"/>
        </w:rPr>
        <w:t>目录</w:t>
      </w:r>
    </w:p>
    <w:p w14:paraId="7E582E6D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8DA680"/>
          <w:sz w:val="18"/>
        </w:rPr>
        <w:t>（请右键更新域以刷新页码）</w:t>
      </w:r>
    </w:p>
    <w:p w14:paraId="4CD54074"/>
    <w:p w14:paraId="1381A1B3">
      <w:pPr>
        <w:spacing w:before="240" w:after="120" w:line="360" w:lineRule="auto"/>
      </w:pPr>
      <w:r>
        <w:rPr>
          <w:rFonts w:ascii="微软雅黑" w:hAnsi="微软雅黑" w:eastAsia="微软雅黑"/>
          <w:b/>
          <w:i w:val="0"/>
          <w:color w:val="0A1F0A"/>
          <w:sz w:val="36"/>
        </w:rPr>
        <w:t>一、产品概述</w:t>
      </w:r>
    </w:p>
    <w:p w14:paraId="6AAF3EC0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1.1 产品名称</w:t>
      </w:r>
    </w:p>
    <w:p w14:paraId="46859F1F">
      <w:pPr>
        <w:spacing w:after="80" w:line="432" w:lineRule="auto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中文名称：踢出"超"时代——中国草根足球联赛数据新闻</w:t>
      </w:r>
    </w:p>
    <w:p w14:paraId="38AAF510">
      <w:pPr>
        <w:spacing w:after="80" w:line="432" w:lineRule="auto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英文名称：Kick Off the "Super" Era: China Grassroots Football League Data Story</w:t>
      </w:r>
    </w:p>
    <w:p w14:paraId="14824B9F">
      <w:pPr>
        <w:spacing w:after="80" w:line="432" w:lineRule="auto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产品代号：VillageSuper-2026</w:t>
      </w:r>
    </w:p>
    <w:p w14:paraId="5F9F1F1E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1.2 产品定位</w:t>
      </w:r>
    </w:p>
    <w:p w14:paraId="657C6346">
      <w:pPr>
        <w:spacing w:after="80" w:line="432" w:lineRule="auto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一款面向中文互联网用户的沉浸式数据叙事网页产品，</w:t>
      </w:r>
      <w:r>
        <w:rPr>
          <w:rFonts w:hint="eastAsia" w:ascii="微软雅黑" w:hAnsi="微软雅黑" w:eastAsia="微软雅黑"/>
          <w:b w:val="0"/>
          <w:i w:val="0"/>
          <w:color w:val="1A3A1A"/>
          <w:sz w:val="21"/>
          <w:lang w:val="en-US" w:eastAsia="zh-CN"/>
        </w:rPr>
        <w:t>2026数据新闻大赛参赛作品，</w:t>
      </w:r>
      <w:r>
        <w:rPr>
          <w:rFonts w:ascii="微软雅黑" w:hAnsi="微软雅黑" w:eastAsia="微软雅黑"/>
          <w:b w:val="0"/>
          <w:i w:val="0"/>
          <w:color w:val="1A3A1A"/>
          <w:sz w:val="21"/>
        </w:rPr>
        <w:t>以贵州榕江"村超"为原点，全景式呈现中国草根足球联赛从乡村走向全国、从全国走向世界的壮阔历程。产品定位为"国内首个草根足球主题全交互数据新闻"，兼具新闻性、数据性和艺术性。</w:t>
      </w:r>
    </w:p>
    <w:p w14:paraId="04309D0D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1.3 产品目标</w:t>
      </w:r>
    </w:p>
    <w:p w14:paraId="028781D7">
      <w:pPr>
        <w:spacing w:after="80" w:line="432" w:lineRule="auto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（1）传播目标：通过数据可视化与交互叙事，让用户在15-20分钟内理解中国草根足球联赛的生态全貌，感受"群众体育+县域经济+地域文化"的共生逻辑。</w:t>
      </w:r>
    </w:p>
    <w:p w14:paraId="025011D1">
      <w:pPr>
        <w:spacing w:after="80" w:line="432" w:lineRule="auto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（2）数据目标：准确呈现19省联赛、12.7万球员、2300万游客、270亿收入、620亿播放等核心数据，数据误差率低于0.5%。</w:t>
      </w:r>
    </w:p>
    <w:p w14:paraId="1BD5569F">
      <w:pPr>
        <w:spacing w:after="80" w:line="432" w:lineRule="auto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（3）体验目标：首屏加载时间&lt;2.5秒，完整阅读完成率&gt;40%，人均分享率&gt;15%。</w:t>
      </w:r>
    </w:p>
    <w:p w14:paraId="3E00B9A1">
      <w:pPr>
        <w:spacing w:after="80" w:line="432" w:lineRule="auto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（4）品牌目标：树立数据新闻领域的新标杆，形成可复用的"体育赛事数据叙事"产品模板。</w:t>
      </w:r>
    </w:p>
    <w:p w14:paraId="6C5E901A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1.4 核心用户画像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9C1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3BDE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用户类型</w:t>
            </w:r>
          </w:p>
        </w:tc>
        <w:tc>
          <w:tcPr>
            <w:tcW w:w="2160" w:type="dxa"/>
          </w:tcPr>
          <w:p w14:paraId="4F29B5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年龄/职业</w:t>
            </w:r>
          </w:p>
        </w:tc>
        <w:tc>
          <w:tcPr>
            <w:tcW w:w="2160" w:type="dxa"/>
          </w:tcPr>
          <w:p w14:paraId="1A718F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核心需求</w:t>
            </w:r>
          </w:p>
        </w:tc>
        <w:tc>
          <w:tcPr>
            <w:tcW w:w="2160" w:type="dxa"/>
          </w:tcPr>
          <w:p w14:paraId="15E5AC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使用场景</w:t>
            </w:r>
          </w:p>
        </w:tc>
      </w:tr>
      <w:tr w14:paraId="54D3E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4909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城市体育爱好者</w:t>
            </w:r>
          </w:p>
        </w:tc>
        <w:tc>
          <w:tcPr>
            <w:tcW w:w="2160" w:type="dxa"/>
          </w:tcPr>
          <w:p w14:paraId="3ECCAE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25-35岁/白领</w:t>
            </w:r>
          </w:p>
        </w:tc>
        <w:tc>
          <w:tcPr>
            <w:tcW w:w="2160" w:type="dxa"/>
          </w:tcPr>
          <w:p w14:paraId="094782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了解草根足球发展，寻找观赛或参与灵感</w:t>
            </w:r>
          </w:p>
        </w:tc>
        <w:tc>
          <w:tcPr>
            <w:tcW w:w="2160" w:type="dxa"/>
          </w:tcPr>
          <w:p w14:paraId="76A5C1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午休/通勤/睡前</w:t>
            </w:r>
          </w:p>
        </w:tc>
      </w:tr>
      <w:tr w14:paraId="5346F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04CE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媒体研究者</w:t>
            </w:r>
          </w:p>
        </w:tc>
        <w:tc>
          <w:tcPr>
            <w:tcW w:w="2160" w:type="dxa"/>
          </w:tcPr>
          <w:p w14:paraId="3BD997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30-45岁/学者</w:t>
            </w:r>
          </w:p>
        </w:tc>
        <w:tc>
          <w:tcPr>
            <w:tcW w:w="2160" w:type="dxa"/>
          </w:tcPr>
          <w:p w14:paraId="346883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研究数据新闻叙事方法，寻找案例参考</w:t>
            </w:r>
          </w:p>
        </w:tc>
        <w:tc>
          <w:tcPr>
            <w:tcW w:w="2160" w:type="dxa"/>
          </w:tcPr>
          <w:p w14:paraId="548483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工作研究/课程教学</w:t>
            </w:r>
          </w:p>
        </w:tc>
      </w:tr>
      <w:tr w14:paraId="06B18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4C2F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县域经济从业者</w:t>
            </w:r>
          </w:p>
        </w:tc>
        <w:tc>
          <w:tcPr>
            <w:tcW w:w="2160" w:type="dxa"/>
          </w:tcPr>
          <w:p w14:paraId="05BEFF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35-50岁/公务员/创业者</w:t>
            </w:r>
          </w:p>
        </w:tc>
        <w:tc>
          <w:tcPr>
            <w:tcW w:w="2160" w:type="dxa"/>
          </w:tcPr>
          <w:p w14:paraId="72C1AF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学习村超模式，寻找可复制经验</w:t>
            </w:r>
          </w:p>
        </w:tc>
        <w:tc>
          <w:tcPr>
            <w:tcW w:w="2160" w:type="dxa"/>
          </w:tcPr>
          <w:p w14:paraId="3CDA9B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工作调研/政策制定</w:t>
            </w:r>
          </w:p>
        </w:tc>
      </w:tr>
      <w:tr w14:paraId="1683A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26BF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大学生群体</w:t>
            </w:r>
          </w:p>
        </w:tc>
        <w:tc>
          <w:tcPr>
            <w:tcW w:w="2160" w:type="dxa"/>
          </w:tcPr>
          <w:p w14:paraId="743B32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18-25岁/学生</w:t>
            </w:r>
          </w:p>
        </w:tc>
        <w:tc>
          <w:tcPr>
            <w:tcW w:w="2160" w:type="dxa"/>
          </w:tcPr>
          <w:p w14:paraId="6758C3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获取数据新闻素材，感受社会热点</w:t>
            </w:r>
          </w:p>
        </w:tc>
        <w:tc>
          <w:tcPr>
            <w:tcW w:w="2160" w:type="dxa"/>
          </w:tcPr>
          <w:p w14:paraId="732232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课余/论文写作</w:t>
            </w:r>
          </w:p>
        </w:tc>
      </w:tr>
      <w:tr w14:paraId="1AA3E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10D7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国际关注者</w:t>
            </w:r>
          </w:p>
        </w:tc>
        <w:tc>
          <w:tcPr>
            <w:tcW w:w="2160" w:type="dxa"/>
          </w:tcPr>
          <w:p w14:paraId="161659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25-40岁/外籍人士</w:t>
            </w:r>
          </w:p>
        </w:tc>
        <w:tc>
          <w:tcPr>
            <w:tcW w:w="2160" w:type="dxa"/>
          </w:tcPr>
          <w:p w14:paraId="65E006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了解中国 grassroots football 文化</w:t>
            </w:r>
          </w:p>
        </w:tc>
        <w:tc>
          <w:tcPr>
            <w:tcW w:w="2160" w:type="dxa"/>
          </w:tcPr>
          <w:p w14:paraId="744A7C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跨文化研究</w:t>
            </w:r>
          </w:p>
        </w:tc>
      </w:tr>
    </w:tbl>
    <w:p w14:paraId="1E6E4E7B">
      <w:pPr>
        <w:spacing w:before="240" w:after="120" w:line="360" w:lineRule="auto"/>
      </w:pPr>
      <w:r>
        <w:rPr>
          <w:rFonts w:ascii="微软雅黑" w:hAnsi="微软雅黑" w:eastAsia="微软雅黑"/>
          <w:b/>
          <w:i w:val="0"/>
          <w:color w:val="0A1F0A"/>
          <w:sz w:val="36"/>
        </w:rPr>
        <w:t>二、功能架构</w:t>
      </w:r>
    </w:p>
    <w:p w14:paraId="6F810DA4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2.1 功能模块总览</w:t>
      </w:r>
    </w:p>
    <w:p w14:paraId="69983032">
      <w:pPr>
        <w:spacing w:after="80" w:line="432" w:lineRule="auto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产品由以下8大功能模块组成：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2A84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3CFA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模块编号</w:t>
            </w:r>
          </w:p>
        </w:tc>
        <w:tc>
          <w:tcPr>
            <w:tcW w:w="2160" w:type="dxa"/>
          </w:tcPr>
          <w:p w14:paraId="6996B1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模块名称</w:t>
            </w:r>
          </w:p>
        </w:tc>
        <w:tc>
          <w:tcPr>
            <w:tcW w:w="2160" w:type="dxa"/>
          </w:tcPr>
          <w:p w14:paraId="18B167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核心功能</w:t>
            </w:r>
          </w:p>
        </w:tc>
        <w:tc>
          <w:tcPr>
            <w:tcW w:w="2160" w:type="dxa"/>
          </w:tcPr>
          <w:p w14:paraId="3B860B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优先级</w:t>
            </w:r>
          </w:p>
        </w:tc>
      </w:tr>
      <w:tr w14:paraId="0D21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E39E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M1</w:t>
            </w:r>
          </w:p>
        </w:tc>
        <w:tc>
          <w:tcPr>
            <w:tcW w:w="2160" w:type="dxa"/>
          </w:tcPr>
          <w:p w14:paraId="3E7FE6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封面与加载</w:t>
            </w:r>
          </w:p>
        </w:tc>
        <w:tc>
          <w:tcPr>
            <w:tcW w:w="2160" w:type="dxa"/>
          </w:tcPr>
          <w:p w14:paraId="32C825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足球旋转加载动画、主题视觉、标题动效</w:t>
            </w:r>
          </w:p>
        </w:tc>
        <w:tc>
          <w:tcPr>
            <w:tcW w:w="2160" w:type="dxa"/>
          </w:tcPr>
          <w:p w14:paraId="1B8C95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P0</w:t>
            </w:r>
          </w:p>
        </w:tc>
      </w:tr>
      <w:tr w14:paraId="5D997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A409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M2</w:t>
            </w:r>
          </w:p>
        </w:tc>
        <w:tc>
          <w:tcPr>
            <w:tcW w:w="2160" w:type="dxa"/>
          </w:tcPr>
          <w:p w14:paraId="7C08D3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序言叙事</w:t>
            </w:r>
          </w:p>
        </w:tc>
        <w:tc>
          <w:tcPr>
            <w:tcW w:w="2160" w:type="dxa"/>
          </w:tcPr>
          <w:p w14:paraId="19B5C0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洪水背景故事、人物卡（黄国锋）、图片轮播</w:t>
            </w:r>
          </w:p>
        </w:tc>
        <w:tc>
          <w:tcPr>
            <w:tcW w:w="2160" w:type="dxa"/>
          </w:tcPr>
          <w:p w14:paraId="01EBAD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P0</w:t>
            </w:r>
          </w:p>
        </w:tc>
      </w:tr>
      <w:tr w14:paraId="4B70B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0F1E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M3</w:t>
            </w:r>
          </w:p>
        </w:tc>
        <w:tc>
          <w:tcPr>
            <w:tcW w:w="2160" w:type="dxa"/>
          </w:tcPr>
          <w:p w14:paraId="31B61F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数据可视化</w:t>
            </w:r>
          </w:p>
        </w:tc>
        <w:tc>
          <w:tcPr>
            <w:tcW w:w="2160" w:type="dxa"/>
          </w:tcPr>
          <w:p w14:paraId="35B9B2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16种图表类型（KPI仪表盘、桑基图、雷达图等）</w:t>
            </w:r>
          </w:p>
        </w:tc>
        <w:tc>
          <w:tcPr>
            <w:tcW w:w="2160" w:type="dxa"/>
          </w:tcPr>
          <w:p w14:paraId="0E08CA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P0</w:t>
            </w:r>
          </w:p>
        </w:tc>
      </w:tr>
      <w:tr w14:paraId="3B378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753C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M4</w:t>
            </w:r>
          </w:p>
        </w:tc>
        <w:tc>
          <w:tcPr>
            <w:tcW w:w="2160" w:type="dxa"/>
          </w:tcPr>
          <w:p w14:paraId="531EC6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交互地图</w:t>
            </w:r>
          </w:p>
        </w:tc>
        <w:tc>
          <w:tcPr>
            <w:tcW w:w="2160" w:type="dxa"/>
          </w:tcPr>
          <w:p w14:paraId="2597B1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中国热度扩散地图 + 世界交流网络地图</w:t>
            </w:r>
          </w:p>
        </w:tc>
        <w:tc>
          <w:tcPr>
            <w:tcW w:w="2160" w:type="dxa"/>
          </w:tcPr>
          <w:p w14:paraId="0AC5CA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P0</w:t>
            </w:r>
          </w:p>
        </w:tc>
      </w:tr>
      <w:tr w14:paraId="4CAF4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1BB5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M5</w:t>
            </w:r>
          </w:p>
        </w:tc>
        <w:tc>
          <w:tcPr>
            <w:tcW w:w="2160" w:type="dxa"/>
          </w:tcPr>
          <w:p w14:paraId="638AE7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人物系统</w:t>
            </w:r>
          </w:p>
        </w:tc>
        <w:tc>
          <w:tcPr>
            <w:tcW w:w="2160" w:type="dxa"/>
          </w:tcPr>
          <w:p w14:paraId="05DB95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人物卡片、弹窗详情、照片轮播、故事时间轴</w:t>
            </w:r>
          </w:p>
        </w:tc>
        <w:tc>
          <w:tcPr>
            <w:tcW w:w="2160" w:type="dxa"/>
          </w:tcPr>
          <w:p w14:paraId="5189DA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P0</w:t>
            </w:r>
          </w:p>
        </w:tc>
      </w:tr>
      <w:tr w14:paraId="3EA1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5C8E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M6</w:t>
            </w:r>
          </w:p>
        </w:tc>
        <w:tc>
          <w:tcPr>
            <w:tcW w:w="2160" w:type="dxa"/>
          </w:tcPr>
          <w:p w14:paraId="4F8682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导航系统</w:t>
            </w:r>
          </w:p>
        </w:tc>
        <w:tc>
          <w:tcPr>
            <w:tcW w:w="2160" w:type="dxa"/>
          </w:tcPr>
          <w:p w14:paraId="46E70C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固定导航栏、进度条、章节跳转、足球光标</w:t>
            </w:r>
          </w:p>
        </w:tc>
        <w:tc>
          <w:tcPr>
            <w:tcW w:w="2160" w:type="dxa"/>
          </w:tcPr>
          <w:p w14:paraId="1682B9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P1</w:t>
            </w:r>
          </w:p>
        </w:tc>
      </w:tr>
      <w:tr w14:paraId="1CCD5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97C7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M7</w:t>
            </w:r>
          </w:p>
        </w:tc>
        <w:tc>
          <w:tcPr>
            <w:tcW w:w="2160" w:type="dxa"/>
          </w:tcPr>
          <w:p w14:paraId="4F3512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多媒体</w:t>
            </w:r>
          </w:p>
        </w:tc>
        <w:tc>
          <w:tcPr>
            <w:tcW w:w="2160" w:type="dxa"/>
          </w:tcPr>
          <w:p w14:paraId="0817F6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背景音乐、视频嵌入、Lottie动画、音效</w:t>
            </w:r>
          </w:p>
        </w:tc>
        <w:tc>
          <w:tcPr>
            <w:tcW w:w="2160" w:type="dxa"/>
          </w:tcPr>
          <w:p w14:paraId="469CDB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P2</w:t>
            </w:r>
          </w:p>
        </w:tc>
      </w:tr>
      <w:tr w14:paraId="5F563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89DE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M8</w:t>
            </w:r>
          </w:p>
        </w:tc>
        <w:tc>
          <w:tcPr>
            <w:tcW w:w="2160" w:type="dxa"/>
          </w:tcPr>
          <w:p w14:paraId="21073A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数据与参考</w:t>
            </w:r>
          </w:p>
        </w:tc>
        <w:tc>
          <w:tcPr>
            <w:tcW w:w="2160" w:type="dxa"/>
          </w:tcPr>
          <w:p w14:paraId="30441D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数据来源面板、参考文献、下载按钮</w:t>
            </w:r>
          </w:p>
        </w:tc>
        <w:tc>
          <w:tcPr>
            <w:tcW w:w="2160" w:type="dxa"/>
          </w:tcPr>
          <w:p w14:paraId="46BBCB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P2</w:t>
            </w:r>
          </w:p>
        </w:tc>
      </w:tr>
    </w:tbl>
    <w:p w14:paraId="71BAEFD1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2.2 页面结构</w:t>
      </w:r>
    </w:p>
    <w:p w14:paraId="4A66375E">
      <w:pPr>
        <w:spacing w:after="80" w:line="432" w:lineRule="auto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产品采用单页长文（Single Page Long-form）结构，共包含以下页面区块：</w:t>
      </w:r>
    </w:p>
    <w:p w14:paraId="7E2104F1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封面页（Full-screen Hero）：足球场航拍视频背景 + 标题文字 + 足球旋转加载</w:t>
      </w:r>
    </w:p>
    <w:p w14:paraId="50EE6783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序言区块（Prologue）：从洪水中归来叙事 + 黄国锋人物卡 + 灾后修复图片轮播</w:t>
      </w:r>
    </w:p>
    <w:p w14:paraId="0D2D1B1B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第一章区块（Chapter 1）：泥地开球——KPI仪表盘 + 六边形分箱图 + 旭日图 + 瀑布图 + 6位人物卡</w:t>
      </w:r>
    </w:p>
    <w:p w14:paraId="46F1E18C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第二章区块（Chapter 2）：边路爆点——桑基图 + 气泡图 + 复合统计图 + 东哈烧烤/刘智人物卡</w:t>
      </w:r>
    </w:p>
    <w:p w14:paraId="6B9A2F58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第三章区块（Chapter 3）：全攻全守——热力图 + 热度扩散地图 + 和弦图 + 气泡乘数图 + 人物卡 + 轮播</w:t>
      </w:r>
    </w:p>
    <w:p w14:paraId="5D732B3A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第四章区块（Chapter 4）：中场盘带——五维雷达图 + 词云图 + 旭日图 + 四力联动说明</w:t>
      </w:r>
    </w:p>
    <w:p w14:paraId="754B25DF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第五章区块（Chapter 5）：万里长传——时间线气泡图 + 金字塔图 + 世界地图 + 图片轮播</w:t>
      </w:r>
    </w:p>
    <w:p w14:paraId="3599AC7A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数据来源区块（Data Source）：数据清单、引用文献、下载按钮、分享组件</w:t>
      </w:r>
    </w:p>
    <w:p w14:paraId="15E98B67">
      <w:pPr>
        <w:spacing w:before="240" w:after="120" w:line="360" w:lineRule="auto"/>
      </w:pPr>
      <w:r>
        <w:rPr>
          <w:rFonts w:ascii="微软雅黑" w:hAnsi="微软雅黑" w:eastAsia="微软雅黑"/>
          <w:b/>
          <w:i w:val="0"/>
          <w:color w:val="0A1F0A"/>
          <w:sz w:val="36"/>
        </w:rPr>
        <w:t>三、详细功能需求</w:t>
      </w:r>
    </w:p>
    <w:p w14:paraId="295AD56C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3.1 封面与加载模块 (M1)</w:t>
      </w:r>
    </w:p>
    <w:p w14:paraId="6197F451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【M1-01】加载动画：页面加载时显示足球旋转动画，足球表面带有中国草根足球联赛标志性纹理。加载进度以足球场草坪纹理进度条呈现，底部显示「正在加载数据...」文字。</w:t>
      </w:r>
    </w:p>
    <w:p w14:paraId="10DC9414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【M1-02】封面视觉：加载完成后显示全屏足球场航拍视频（夜间灯光版），视频自动播放、静音、循环。标题文字「踢出'超'时代」从底部滑入，副标题「中国草根足球联赛的万里长传」延迟0.5秒后淡入。</w:t>
      </w:r>
    </w:p>
    <w:p w14:paraId="10585151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【M1-03】滚动提示：封面底部显示向下箭头动画，提示用户滚动进入内容。箭头颜色为金色（#e8a820），以呼吸动画上下浮动。</w:t>
      </w:r>
    </w:p>
    <w:p w14:paraId="6DC0A98D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3.2 序言叙事模块 (M2)</w:t>
      </w:r>
    </w:p>
    <w:p w14:paraId="1DDE432C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【M2-01】背景叙事：以2025年6月榕江洪灾为切入点，使用视差滚动呈现洪水淹没球场的照片与灾后修复的对比。文字采用打字机效果逐字出现，配合雨滴声环境音（可选）。</w:t>
      </w:r>
    </w:p>
    <w:p w14:paraId="218DE119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【M2-02】人物卡——黄国锋：在序言末尾插入黄国锋人物卡片。卡片包含：照片（占位：凌晨4点做卷粉工作照）、姓名、身份标签（「卷粉摊主 · 金靴射手」）、一句引语（「足球不只能锻炼身体，更能教他合作、坚持和尊重。」）。点击卡片弹出详情弹窗。</w:t>
      </w:r>
    </w:p>
    <w:p w14:paraId="453E89C2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【M2-03】图片轮播：序言区域设置3-5张灾后修复图片的横向轮播，轮播间隔4秒，支持手动拖拽与点击切换。轮播指示器为足球形状小圆点。</w:t>
      </w:r>
    </w:p>
    <w:p w14:paraId="42A7B4EE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3.3 数据可视化模块 (M3)</w:t>
      </w:r>
    </w:p>
    <w:p w14:paraId="416F33A3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【M3-01】KPI仪表盘（第一章）：展示村超核心指标——607名球员、98场全年赛事、6.2万单日观众、1000亿次全网浏览。仪表盘采用半圆环形进度条，数字从0滚动至目标值，颜色按热度分级（绿→金→红）。</w:t>
      </w:r>
    </w:p>
    <w:p w14:paraId="7316E9E8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【M3-02】六边形分箱图（第一章）：展示球员职业分布，农民/摊贩42%、务工人员31%、教师/手艺人27%。每个六边形代表一个职业群体，颜色深浅与人数成正比，悬停显示具体人数与占比。</w:t>
      </w:r>
    </w:p>
    <w:p w14:paraId="2289A598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【M3-03】旭日图（第一章）：展示市集营收构成——农特产52.8%（7.08亿元）、手工艺品23.9%（3.20亿元）、餐饮23.3%（3.13亿元）。支持点击下钻至细分品类（如苗绣、蜡染、银饰等）。</w:t>
      </w:r>
    </w:p>
    <w:p w14:paraId="0E8F68CB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【M3-04】瀑布图（第一章）：展示三年文旅收入变化——2023年59.86亿元、2024年108.03亿元（+80.5%）、2025年102.11亿元（-5.5%，灾后恢复期）。正向增长柱为金色，负向为暗红色，悬停显示同比增幅。</w:t>
      </w:r>
    </w:p>
    <w:p w14:paraId="0F03D759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【M3-05】桑基图（第二章）：展示赛事带动就业的流向——赛事流量 → 直接稳定就业4127人 → 季节性灵活就业8063人 → 总受益12190人。节点宽度与人数成正比，悬停高亮整条链路。</w:t>
      </w:r>
    </w:p>
    <w:p w14:paraId="74663448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【M3-06】气泡图（第二章）：展示苏超13个城市的人口/GDP/票房/上座率四维数据。X轴为人口，Y轴为GDP，气泡大小为票房，颜色深浅为上座率。悬停显示城市名称与四项数据。</w:t>
      </w:r>
    </w:p>
    <w:p w14:paraId="521DB700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【M3-07】复合统计图（第二章）：展示苏超招商2.02亿元的品牌构成，柱状图表示各行业赞助金额，折线图表示小店占比趋势。支持切换「按金额」和「按数量」视图。</w:t>
      </w:r>
    </w:p>
    <w:p w14:paraId="0D2EFDFE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【M3-08】热力图（第三章）：展示19省热度指数矩阵，行和列为省份，颜色深浅表示热度值。支持排序（按热度/按区域）和悬停显示数值。</w:t>
      </w:r>
    </w:p>
    <w:p w14:paraId="7403ADF4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【M3-09】和弦图（第三章）：展示四大区域（东部/中部/北方/西南）之间的赛事互动关系，弧线粗细表示交流频次。悬停高亮所有关联弧。</w:t>
      </w:r>
    </w:p>
    <w:p w14:paraId="55B226AA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【M3-10】气泡乘数图（第三章）：展示四大联赛票根消费乘数——苏超1:7.3（72.3元）、湘超1:6.1（60.4元）、赣超1:5.2（51.5元）、东北超1:4.8（47.5元）。X轴为乘数，Y轴为平均带动消费，气泡大小为合作商户数。</w:t>
      </w:r>
    </w:p>
    <w:p w14:paraId="746C1D8D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【M3-11】五维雷达图（第四章）：展示群众/政府/市场/文化/国际化五力耦合度。五轴分别为：群众参与深度、政府治理柔性、市场产业分层、地域文化辨识度、国际传播广度。支持点击切换不同省份的五维画像。</w:t>
      </w:r>
      <w:bookmarkStart w:id="0" w:name="_GoBack"/>
      <w:bookmarkEnd w:id="0"/>
    </w:p>
    <w:p w14:paraId="48D43EC1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3-12】词云图（第四章）：展示赛事关键词频率——草根（出现4200次）、热爱（3800次）、烟火（2900次）、非遗（2500次）、市井（2100次）等。字体大小与词频成正比，颜色按情感极性分类（正面金色、中性白色、负面暗红）。悬停显示具体频次与出处。</w:t>
      </w:r>
    </w:p>
    <w:p w14:paraId="62E16975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3-13】时间线气泡图（第五章）：展示2023-2028国际化三步走——2024年12国友谊赛（气泡大小12）、2026年43国「一带一路」友谊赛（气泡大小43）、2028年全球村超世界杯（气泡大小80+）。时间轴支持缩放，点击气泡展开该届赛事详情。</w:t>
      </w:r>
    </w:p>
    <w:p w14:paraId="624254C7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3-14】金字塔图（第五章）：展示四级赛事体系——底层村镇联赛（1200场/2800乡镇）、第二层市域联赛（3400场/284地级市）、第三层省级联赛（2100场/19省）、顶层全国总决赛（19省冠军）。金字塔每层标注规模与功能定位。</w:t>
      </w:r>
    </w:p>
    <w:p w14:paraId="2091C32B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3.4 交互地图模块 (M4)</w:t>
      </w:r>
    </w:p>
    <w:p w14:paraId="7C47F925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【M4-01】中国热度扩散地图：基于ECharts 5.5.0 + DataV GeoJSON。底图为真实中国省份边界，填充色#1a3a1a，边框rgba(255,255,255,0.15)。19省以散点标注，大小与热度指数成正比，颜色按热度分级。从榕江向苏超发射红色高亮飞线，从苏超向其他省份发射金色飞线，模拟扩散效果。</w:t>
      </w:r>
    </w:p>
    <w:p w14:paraId="0958AE55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【M4-02】世界交流网络地图：基于ECharts world map。深色宇宙背景，陆地用足球场绿色纹理，海洋用深绿色。50余国节点以圆形标注，弧线连接中国与参与国家。支持地球旋转、拖拽缩放，点击国家节点展开详情。</w:t>
      </w:r>
    </w:p>
    <w:p w14:paraId="5F019A2C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【M4-03】地图交互统一规范：所有地图支持鼠标滚轮缩放、拖拽平移；悬停显示tooltip（背景rgba(10,31,10,0.92)，边框金色半透明）；点击下钻至详细数据面板；地图进入视口时触发脉冲扩散动画。</w:t>
      </w:r>
    </w:p>
    <w:p w14:paraId="642FCE4A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3.5 人物系统模块 (M5)</w:t>
      </w:r>
    </w:p>
    <w:p w14:paraId="2A723DEA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【M5-01】人物卡片：矩形卡片，顶部照片（400x300px），底部姓名、身份标签、引语。背景深绿渐变，边框1px金色半透明。悬停上浮8px，阴影增强。照片区域叠加绿茵场纹理。</w:t>
      </w:r>
    </w:p>
    <w:p w14:paraId="5AEF03B9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【M5-02】人物弹窗：点击卡片后弹出模态框，包含：人物大头照、详细故事（500-800字）、关键数据、2-3张照片轮播、引语高亮。弹窗背景半透明黑色，关闭按钮为足球图标。</w:t>
      </w:r>
    </w:p>
    <w:p w14:paraId="782CCABC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【M5-03】人物分布：序言（黄国锋）、第一章（6位草根球员）、第二章（东哈烧烤老板娘、刘智）、第三章（多位典型人物）、全篇（时间轴串联所有人物）。</w:t>
      </w:r>
    </w:p>
    <w:p w14:paraId="7F7B962F">
      <w:pPr>
        <w:spacing w:after="80" w:line="432" w:lineRule="auto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【M5-04】照片占位规范：若无法直接插入照片，使用[照片占位：人物名称+场景描述]标注，并附上建议图片来源说明。</w:t>
      </w:r>
    </w:p>
    <w:p w14:paraId="2753BB22">
      <w:pPr>
        <w:spacing w:before="240" w:after="120" w:line="360" w:lineRule="auto"/>
      </w:pPr>
      <w:r>
        <w:rPr>
          <w:rFonts w:ascii="微软雅黑" w:hAnsi="微软雅黑" w:eastAsia="微软雅黑"/>
          <w:b/>
          <w:i w:val="0"/>
          <w:color w:val="0A1F0A"/>
          <w:sz w:val="36"/>
        </w:rPr>
        <w:t>四、数据需求</w:t>
      </w:r>
    </w:p>
    <w:p w14:paraId="5E6AF685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4.1 数据来源</w:t>
      </w:r>
    </w:p>
    <w:p w14:paraId="292214A3">
      <w:pPr>
        <w:spacing w:after="80" w:line="432" w:lineRule="auto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本产品的数据来源于以下渠道，需确保所有数据可追溯、可验证：</w:t>
      </w:r>
    </w:p>
    <w:p w14:paraId="2FCD034F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贵州省体育局：19省调研转化率84.2%、全国联赛覆盖率数据</w:t>
      </w:r>
    </w:p>
    <w:p w14:paraId="7CD3B52A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榕江县政府：村超赛事原始数据（607球员、286摊位、98场赛事）</w:t>
      </w:r>
    </w:p>
    <w:p w14:paraId="66B639EC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江苏省体育局：苏超赛事数据（516球员、85场、97.6万观众）</w:t>
      </w:r>
    </w:p>
    <w:p w14:paraId="2681746B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抖音/微博平台：话题播放量、热搜数据、直播观看人次</w:t>
      </w:r>
    </w:p>
    <w:p w14:paraId="14073303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2026苏超赛事市场调研与文旅价值分析报告：文旅消费、票根乘数、就业数据</w:t>
      </w:r>
    </w:p>
    <w:p w14:paraId="578BC82B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故事钩子.docx 与 事例.docx：人物故事、引语、照片素材</w:t>
      </w:r>
    </w:p>
    <w:p w14:paraId="12217057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4.2 数据格式</w:t>
      </w:r>
    </w:p>
    <w:p w14:paraId="4FCEC4CF">
      <w:pPr>
        <w:spacing w:after="80" w:line="432" w:lineRule="auto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所有图表数据统一以JSON格式存储，按模块分文件管理：</w:t>
      </w:r>
    </w:p>
    <w:p w14:paraId="1C96848E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china_heat.json：19省热度指数、坐标、描述文字、飞线路径</w:t>
      </w:r>
    </w:p>
    <w:p w14:paraId="2D7E8CAE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world_network.json：50余国节点坐标、海外播放量、交流路径</w:t>
      </w:r>
    </w:p>
    <w:p w14:paraId="0E345EEE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players.json：607名球员职业分布、姓名、球队、故事摘要</w:t>
      </w:r>
    </w:p>
    <w:p w14:paraId="09D353F1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revenue.json：三年文旅收入、市集营收构成、票根消费乘数</w:t>
      </w:r>
    </w:p>
    <w:p w14:paraId="51363188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matches.json：2100场比赛、上座率、城市数据、四力耦合指标</w:t>
      </w:r>
    </w:p>
    <w:p w14:paraId="54A5FFD8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timeline.json：2023-2028国际化三步走时间节点、事件、图片</w:t>
      </w:r>
    </w:p>
    <w:p w14:paraId="4B2F1779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4.3 数据更新频率</w:t>
      </w:r>
    </w:p>
    <w:p w14:paraId="3745FCB6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静态数据（赛事历史、人物故事）：上线前一次性录入，后续仅修正错误</w:t>
      </w:r>
    </w:p>
    <w:p w14:paraId="27941851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半动态数据（播放量、热搜）：上线时快照，每月可手动更新一次</w:t>
      </w:r>
    </w:p>
    <w:p w14:paraId="7691F0EA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动态数据（2026年友谊赛、2028年世界杯进展）：随赛事进展补充，预计2026年Q2更新第一波</w:t>
      </w:r>
    </w:p>
    <w:p w14:paraId="6F8C8D52">
      <w:pPr>
        <w:spacing w:before="240" w:after="120" w:line="360" w:lineRule="auto"/>
      </w:pPr>
      <w:r>
        <w:rPr>
          <w:rFonts w:ascii="微软雅黑" w:hAnsi="微软雅黑" w:eastAsia="微软雅黑"/>
          <w:b/>
          <w:i w:val="0"/>
          <w:color w:val="0A1F0A"/>
          <w:sz w:val="36"/>
        </w:rPr>
        <w:t>五、视觉与交互需求</w:t>
      </w:r>
    </w:p>
    <w:p w14:paraId="7A86D847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5.1 设计风格</w:t>
      </w:r>
    </w:p>
    <w:p w14:paraId="07A01DBF">
      <w:pPr>
        <w:spacing w:after="80" w:line="432" w:lineRule="auto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整体风格：「足球场夜色」沉浸式主题。深绿色背景（#0a1f0a）模拟深夜球场，暖白色文字（#f0f5ee）模拟照明灯光，金色点缀（#e8a820）模拟进球火花。界面元素大量融入足球纹理、球门框、草坪条纹、角旗等符号。</w:t>
      </w:r>
    </w:p>
    <w:p w14:paraId="732010EA">
      <w:pPr>
        <w:spacing w:after="80" w:line="432" w:lineRule="auto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设计原则：</w:t>
      </w:r>
    </w:p>
    <w:p w14:paraId="28B77266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高级感：避免廉价的渐变和阴影，使用微妙的纹理和精致的描边</w:t>
      </w:r>
    </w:p>
    <w:p w14:paraId="180F0173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层次感：通过视差滚动、前景中景背景分离，营造空间纵深感</w:t>
      </w:r>
    </w:p>
    <w:p w14:paraId="36A3902F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和谐感：所有颜色带暖调，避免冷色突兀，确保长时间阅读不疲劳</w:t>
      </w:r>
    </w:p>
    <w:p w14:paraId="5F2EB07E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足球感：足球元素自然融入，不喧宾夺主，作为装饰性细节存在</w:t>
      </w:r>
    </w:p>
    <w:p w14:paraId="7F4D5B45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5.2 动效规范</w:t>
      </w:r>
    </w:p>
    <w:p w14:paraId="0C8AA66C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缓动函数：所有位移动画使用 ease-out-expo（ cubic-bezier(0.16, 1, 0.3, 1) ），确保动画结尾有平滑的减速感</w:t>
      </w:r>
    </w:p>
    <w:p w14:paraId="4DC2BDCB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动画时长：微交互（悬停、点击）200-300ms；页面过渡400-600ms；数字滚动1500-2000ms</w:t>
      </w:r>
    </w:p>
    <w:p w14:paraId="15EFC760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滚动阈值：动画触发点在元素进入视口80%时，避免过早或过晚触发</w:t>
      </w:r>
    </w:p>
    <w:p w14:paraId="70584A62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性能限制：同一时间页面内动画元素不超过20个，避免掉帧；复杂图表（如和弦图、世界地图）使用Web Worker预渲染</w:t>
      </w:r>
    </w:p>
    <w:p w14:paraId="2889803D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可关闭性：所有动画（除加载页外）应支持用户通过系统偏好设置（prefers-reduced-motion）关闭</w:t>
      </w:r>
    </w:p>
    <w:p w14:paraId="227B9D2E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5.3 交互规范</w:t>
      </w:r>
    </w:p>
    <w:p w14:paraId="73961A4F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鼠标悬停：所有可交互元素必须有明确的hover状态（颜色变化、上浮、阴影、光标变化）</w:t>
      </w:r>
    </w:p>
    <w:p w14:paraId="7BCE68E0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点击反馈：按钮点击时有缩放（scale 0.95）+ 颜色加深反馈，持续时间150ms</w:t>
      </w:r>
    </w:p>
    <w:p w14:paraId="6DBED791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地图交互：支持滚轮缩放（灵敏度1.0）、拖拽平移（惯性0.8）、双击复位</w:t>
      </w:r>
    </w:p>
    <w:p w14:paraId="6194021A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弹窗规范：弹窗出现时背景遮罩渐变（opacity 0→0.7，duration 300ms），弹窗内容从底部滑入（translateY 100px→0）</w:t>
      </w:r>
    </w:p>
    <w:p w14:paraId="0AA10C1E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轮播规范：自动轮播间隔4秒，切换动画为淡入淡出（opacity + scale，duration 500ms），支持手势滑动</w:t>
      </w:r>
    </w:p>
    <w:p w14:paraId="4C7D6DBF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导航联动：滚动时当前章节自动高亮，高亮过渡动画为宽度渐变（200ms）</w:t>
      </w:r>
    </w:p>
    <w:p w14:paraId="29865E53">
      <w:pPr>
        <w:spacing w:before="240" w:after="120" w:line="360" w:lineRule="auto"/>
      </w:pPr>
      <w:r>
        <w:rPr>
          <w:rFonts w:ascii="微软雅黑" w:hAnsi="微软雅黑" w:eastAsia="微软雅黑"/>
          <w:b/>
          <w:i w:val="0"/>
          <w:color w:val="0A1F0A"/>
          <w:sz w:val="36"/>
        </w:rPr>
        <w:t>六、非功能性需求</w:t>
      </w:r>
    </w:p>
    <w:p w14:paraId="644C883F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6.1 性能指标</w:t>
      </w:r>
    </w:p>
    <w:p w14:paraId="727C4FDF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首屏加载时间（LCP）：&lt; 2.5秒（桌面端）、&lt; 3.5秒（移动端）</w:t>
      </w:r>
    </w:p>
    <w:p w14:paraId="5F5AE576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交互响应时间（FID）：&lt; 100ms（按钮点击、地图缩放）</w:t>
      </w:r>
    </w:p>
    <w:p w14:paraId="07573B53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累积布局偏移（CLS）：&lt; 0.1（图片懒加载必须预留占位空间）</w:t>
      </w:r>
    </w:p>
    <w:p w14:paraId="421027F0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帧率：滚动动画和图表动画保持60fps，最低不低于30fps</w:t>
      </w:r>
    </w:p>
    <w:p w14:paraId="14A64570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总资源体积：首屏资源（HTML+CSS+JS+关键图片）&lt; 800KB；全页资源 &lt; 5MB</w:t>
      </w:r>
    </w:p>
    <w:p w14:paraId="29178E02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内存占用：页面持续运行10分钟内存增长 &lt; 50MB，无内存泄漏</w:t>
      </w:r>
    </w:p>
    <w:p w14:paraId="3712B7D1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6.2 兼容性</w:t>
      </w:r>
    </w:p>
    <w:p w14:paraId="38E082DB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浏览器：Chrome 90+、Firefox 88+、Safari 14+、Edge 90+（覆盖95%以上用户）</w:t>
      </w:r>
    </w:p>
    <w:p w14:paraId="48144633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移动端：iOS 14+（Safari）、Android 10+（Chrome）</w:t>
      </w:r>
    </w:p>
    <w:p w14:paraId="6D247825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屏幕尺寸：最小支持宽度375px（iPhone SE），最大支持4K显示器（3840px）</w:t>
      </w:r>
    </w:p>
    <w:p w14:paraId="15E6331A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网络环境：支持弱网环境（2G/3G）降级展示，复杂图表可切换为静态图片模式</w:t>
      </w:r>
    </w:p>
    <w:p w14:paraId="131545BB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6.3 安全性</w:t>
      </w:r>
    </w:p>
    <w:p w14:paraId="67ABF3B6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HTTPS全站加密，地图GeoJSON数据源使用HTTPS CDN</w:t>
      </w:r>
    </w:p>
    <w:p w14:paraId="25F741AF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所有用户输入（如搜索、评论）进行XSS过滤和SQL注入防护</w:t>
      </w:r>
    </w:p>
    <w:p w14:paraId="4B17E743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第三方库（ECharts、GSAP、D3.js）使用CDN引入时验证SRI哈希值</w:t>
      </w:r>
    </w:p>
    <w:p w14:paraId="567F9811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数据隐私：不收集用户个人信息，分析统计使用匿名化UUID</w:t>
      </w:r>
    </w:p>
    <w:p w14:paraId="116AA829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6.4 可访问性（Accessibility）</w:t>
      </w:r>
    </w:p>
    <w:p w14:paraId="685F18B3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WCAG 2.1 AA级合规：文字与背景对比度不低于4.5:1，大文字不低于3:1</w:t>
      </w:r>
    </w:p>
    <w:p w14:paraId="368DB398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键盘导航：所有交互元素支持Tab键聚焦，Enter/Space键激活，Esc键关闭弹窗</w:t>
      </w:r>
    </w:p>
    <w:p w14:paraId="18954A32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屏幕阅读器：所有图片提供alt文本，图表提供aria-label描述，导航区域使用role=navigation</w:t>
      </w:r>
    </w:p>
    <w:p w14:paraId="7A4A3BFA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色盲友好：图表不依赖单一颜色区分，同时使用形状、纹理、标签辅助识别</w:t>
      </w:r>
    </w:p>
    <w:p w14:paraId="7D966690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字体缩放：支持浏览器字体缩放至200%时布局不崩溃，内容可完整阅读</w:t>
      </w:r>
    </w:p>
    <w:p w14:paraId="6F83D0F2">
      <w:pPr>
        <w:spacing w:before="240" w:after="120" w:line="360" w:lineRule="auto"/>
      </w:pPr>
      <w:r>
        <w:rPr>
          <w:rFonts w:ascii="微软雅黑" w:hAnsi="微软雅黑" w:eastAsia="微软雅黑"/>
          <w:b/>
          <w:i w:val="0"/>
          <w:color w:val="0A1F0A"/>
          <w:sz w:val="36"/>
        </w:rPr>
        <w:t>七、验收标准</w:t>
      </w:r>
    </w:p>
    <w:p w14:paraId="2371D129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7.1 功能验收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1D1B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2DC1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验收项</w:t>
            </w:r>
          </w:p>
        </w:tc>
        <w:tc>
          <w:tcPr>
            <w:tcW w:w="2160" w:type="dxa"/>
          </w:tcPr>
          <w:p w14:paraId="3D8070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验收标准</w:t>
            </w:r>
          </w:p>
        </w:tc>
        <w:tc>
          <w:tcPr>
            <w:tcW w:w="2160" w:type="dxa"/>
          </w:tcPr>
          <w:p w14:paraId="4F4476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测试方法</w:t>
            </w:r>
          </w:p>
        </w:tc>
        <w:tc>
          <w:tcPr>
            <w:tcW w:w="2160" w:type="dxa"/>
          </w:tcPr>
          <w:p w14:paraId="61C477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通过条件</w:t>
            </w:r>
          </w:p>
        </w:tc>
      </w:tr>
      <w:tr w14:paraId="66C7F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9795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封面加载</w:t>
            </w:r>
          </w:p>
        </w:tc>
        <w:tc>
          <w:tcPr>
            <w:tcW w:w="2160" w:type="dxa"/>
          </w:tcPr>
          <w:p w14:paraId="2A53C1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足球旋转动画正常播放，进度条从0%到100%，加载时间&lt;3秒</w:t>
            </w:r>
          </w:p>
        </w:tc>
        <w:tc>
          <w:tcPr>
            <w:tcW w:w="2160" w:type="dxa"/>
          </w:tcPr>
          <w:p w14:paraId="706DC1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手动刷新10次</w:t>
            </w:r>
          </w:p>
        </w:tc>
        <w:tc>
          <w:tcPr>
            <w:tcW w:w="2160" w:type="dxa"/>
          </w:tcPr>
          <w:p w14:paraId="06817C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8/10次通过</w:t>
            </w:r>
          </w:p>
        </w:tc>
      </w:tr>
      <w:tr w14:paraId="01A74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C03A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序言叙事</w:t>
            </w:r>
          </w:p>
        </w:tc>
        <w:tc>
          <w:tcPr>
            <w:tcW w:w="2160" w:type="dxa"/>
          </w:tcPr>
          <w:p w14:paraId="38657D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视差滚动流畅，文字打字机效果正常，人物卡可点击弹窗</w:t>
            </w:r>
          </w:p>
        </w:tc>
        <w:tc>
          <w:tcPr>
            <w:tcW w:w="2160" w:type="dxa"/>
          </w:tcPr>
          <w:p w14:paraId="2E9915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逐元素测试</w:t>
            </w:r>
          </w:p>
        </w:tc>
        <w:tc>
          <w:tcPr>
            <w:tcW w:w="2160" w:type="dxa"/>
          </w:tcPr>
          <w:p w14:paraId="5BC01E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100%通过</w:t>
            </w:r>
          </w:p>
        </w:tc>
      </w:tr>
      <w:tr w14:paraId="33F53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4689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KPI仪表盘</w:t>
            </w:r>
          </w:p>
        </w:tc>
        <w:tc>
          <w:tcPr>
            <w:tcW w:w="2160" w:type="dxa"/>
          </w:tcPr>
          <w:p w14:paraId="08783A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数字从0滚动至目标值，颜色分级正确，悬停显示详情</w:t>
            </w:r>
          </w:p>
        </w:tc>
        <w:tc>
          <w:tcPr>
            <w:tcW w:w="2160" w:type="dxa"/>
          </w:tcPr>
          <w:p w14:paraId="704909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数据核对+手动测试</w:t>
            </w:r>
          </w:p>
        </w:tc>
        <w:tc>
          <w:tcPr>
            <w:tcW w:w="2160" w:type="dxa"/>
          </w:tcPr>
          <w:p w14:paraId="13D69F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数值误差&lt;0.5%</w:t>
            </w:r>
          </w:p>
        </w:tc>
      </w:tr>
      <w:tr w14:paraId="34BCA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983A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中国地图</w:t>
            </w:r>
          </w:p>
        </w:tc>
        <w:tc>
          <w:tcPr>
            <w:tcW w:w="2160" w:type="dxa"/>
          </w:tcPr>
          <w:p w14:paraId="693626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19省热力点正确显示，飞线动画流畅，缩放拖拽无卡顿</w:t>
            </w:r>
          </w:p>
        </w:tc>
        <w:tc>
          <w:tcPr>
            <w:tcW w:w="2160" w:type="dxa"/>
          </w:tcPr>
          <w:p w14:paraId="6E72D8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Chrome DevTools Performance</w:t>
            </w:r>
          </w:p>
        </w:tc>
        <w:tc>
          <w:tcPr>
            <w:tcW w:w="2160" w:type="dxa"/>
          </w:tcPr>
          <w:p w14:paraId="59C5CD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60fps保持&gt;90%时间</w:t>
            </w:r>
          </w:p>
        </w:tc>
      </w:tr>
      <w:tr w14:paraId="01A6E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824E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世界地图</w:t>
            </w:r>
          </w:p>
        </w:tc>
        <w:tc>
          <w:tcPr>
            <w:tcW w:w="2160" w:type="dxa"/>
          </w:tcPr>
          <w:p w14:paraId="78B4DA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50+国家节点显示，弧线流动动画正常，旋转缩放无崩溃</w:t>
            </w:r>
          </w:p>
        </w:tc>
        <w:tc>
          <w:tcPr>
            <w:tcW w:w="2160" w:type="dxa"/>
          </w:tcPr>
          <w:p w14:paraId="18C8BC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多浏览器测试</w:t>
            </w:r>
          </w:p>
        </w:tc>
        <w:tc>
          <w:tcPr>
            <w:tcW w:w="2160" w:type="dxa"/>
          </w:tcPr>
          <w:p w14:paraId="502EF1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4大浏览器均通过</w:t>
            </w:r>
          </w:p>
        </w:tc>
      </w:tr>
      <w:tr w14:paraId="4A511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04E0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人物系统</w:t>
            </w:r>
          </w:p>
        </w:tc>
        <w:tc>
          <w:tcPr>
            <w:tcW w:w="2160" w:type="dxa"/>
          </w:tcPr>
          <w:p w14:paraId="439E1C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所有人物卡片可点击，弹窗内容完整，照片轮播正常</w:t>
            </w:r>
          </w:p>
        </w:tc>
        <w:tc>
          <w:tcPr>
            <w:tcW w:w="2160" w:type="dxa"/>
          </w:tcPr>
          <w:p w14:paraId="28451C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逐卡片点击测试</w:t>
            </w:r>
          </w:p>
        </w:tc>
        <w:tc>
          <w:tcPr>
            <w:tcW w:w="2160" w:type="dxa"/>
          </w:tcPr>
          <w:p w14:paraId="708D23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100%通过</w:t>
            </w:r>
          </w:p>
        </w:tc>
      </w:tr>
      <w:tr w14:paraId="7EFD9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A6D5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导航进度</w:t>
            </w:r>
          </w:p>
        </w:tc>
        <w:tc>
          <w:tcPr>
            <w:tcW w:w="2160" w:type="dxa"/>
          </w:tcPr>
          <w:p w14:paraId="139648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滚动时章节高亮准确，进度条与阅读进度同步</w:t>
            </w:r>
          </w:p>
        </w:tc>
        <w:tc>
          <w:tcPr>
            <w:tcW w:w="2160" w:type="dxa"/>
          </w:tcPr>
          <w:p w14:paraId="537576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滚动至各章节验证</w:t>
            </w:r>
          </w:p>
        </w:tc>
        <w:tc>
          <w:tcPr>
            <w:tcW w:w="2160" w:type="dxa"/>
          </w:tcPr>
          <w:p w14:paraId="5BE9B2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误差&lt;1个章节</w:t>
            </w:r>
          </w:p>
        </w:tc>
      </w:tr>
      <w:tr w14:paraId="04602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40BC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响应式</w:t>
            </w:r>
          </w:p>
        </w:tc>
        <w:tc>
          <w:tcPr>
            <w:tcW w:w="2160" w:type="dxa"/>
          </w:tcPr>
          <w:p w14:paraId="0DB9BB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桌面/平板/移动端布局正常，无元素溢出或遮挡</w:t>
            </w:r>
          </w:p>
        </w:tc>
        <w:tc>
          <w:tcPr>
            <w:tcW w:w="2160" w:type="dxa"/>
          </w:tcPr>
          <w:p w14:paraId="7F31A8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Chrome DevTools Device</w:t>
            </w:r>
          </w:p>
        </w:tc>
        <w:tc>
          <w:tcPr>
            <w:tcW w:w="2160" w:type="dxa"/>
          </w:tcPr>
          <w:p w14:paraId="2C01A6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3类设备均通过</w:t>
            </w:r>
          </w:p>
        </w:tc>
      </w:tr>
    </w:tbl>
    <w:p w14:paraId="330A85E0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7.2 视觉验收</w:t>
      </w:r>
    </w:p>
    <w:p w14:paraId="110EDEFE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色彩一致性：所有页面背景色严格为#0a1f0a或#1a3a1a，文字色为#f0f5ee或#c8d6c0，金色点缀为#e8a820，无偏差</w:t>
      </w:r>
    </w:p>
    <w:p w14:paraId="5E8C9364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字体一致性：标题使用指定字体，正文使用微软雅黑/PingFang SC，数字使用等宽字体，无回退至默认字体</w:t>
      </w:r>
    </w:p>
    <w:p w14:paraId="38C9F8A1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图片质量：所有照片清晰无模糊，人物肖像照自然无过度修图，足球场航拍无水印</w:t>
      </w:r>
    </w:p>
    <w:p w14:paraId="5D162B54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动画流畅度：所有过渡动画平滑无卡顿，数字滚动匀速无跳跃，地图飞线无断裂</w:t>
      </w:r>
    </w:p>
    <w:p w14:paraId="5A3DC101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足球元素：光标、角标、分隔线、进度条等足球主题元素完整呈现，无遗漏</w:t>
      </w:r>
    </w:p>
    <w:p w14:paraId="30ECAD09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7.3 性能验收</w:t>
      </w:r>
    </w:p>
    <w:p w14:paraId="550F7AD3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Lighthouse评分：Performance &gt;= 85，Accessibility &gt;= 90，Best Practices &gt;= 90，SEO &gt;= 80</w:t>
      </w:r>
    </w:p>
    <w:p w14:paraId="09EEEBC6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加载测试：使用3G网络模拟，首屏完成时间&lt;5秒，白屏时间&lt;1.5秒</w:t>
      </w:r>
    </w:p>
    <w:p w14:paraId="67FCC868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压力测试：同时100用户访问，服务器响应时间&lt;200ms，无5xx错误</w:t>
      </w:r>
    </w:p>
    <w:p w14:paraId="67C60628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兼容性测试：Chrome/Firefox/Safari/Edge最新两版，iOS/Android各两版，无致命Bug</w:t>
      </w:r>
    </w:p>
    <w:p w14:paraId="651A2BD6"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7.4 内容验收</w:t>
      </w:r>
    </w:p>
    <w:p w14:paraId="7BD8AED2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数据准确性：所有核心数据（607球员、1000亿浏览、19省、12.7万人等）与来源文档核对无误</w:t>
      </w:r>
    </w:p>
    <w:p w14:paraId="5B59AC76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文本校对：无错别字、无语法错误、无标点错误、无政治敏感内容</w:t>
      </w:r>
    </w:p>
    <w:p w14:paraId="34B44458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照片版权：所有照片已获得使用授权或来自公共领域，人物肖像已获得本人同意</w:t>
      </w:r>
    </w:p>
    <w:p w14:paraId="3B9E5B51">
      <w:pPr>
        <w:pStyle w:val="16"/>
        <w:spacing w:after="40" w:line="384" w:lineRule="auto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引用规范：所有外部数据来源已标注出处，引用格式统一</w:t>
      </w:r>
    </w:p>
    <w:p w14:paraId="41EC9F43">
      <w:pPr>
        <w:spacing w:before="800" w:after="400"/>
        <w:jc w:val="center"/>
      </w:pPr>
      <w:r>
        <w:rPr>
          <w:rFonts w:ascii="微软雅黑" w:hAnsi="微软雅黑" w:eastAsia="微软雅黑"/>
          <w:b/>
          <w:i w:val="0"/>
          <w:color w:val="8DA680"/>
          <w:sz w:val="24"/>
        </w:rPr>
        <w:t>—— PRD 完 ——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97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5056</Words>
  <Characters>6300</Characters>
  <Lines>0</Lines>
  <Paragraphs>0</Paragraphs>
  <TotalTime>2</TotalTime>
  <ScaleCrop>false</ScaleCrop>
  <LinksUpToDate>false</LinksUpToDate>
  <CharactersWithSpaces>6448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我是你的神_</cp:lastModifiedBy>
  <dcterms:modified xsi:type="dcterms:W3CDTF">2026-06-24T13:57:44Z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eyJoZGlkIjoiZDAxNjY3Mzg0MjQ2MDhiNDkwZDQ0N2U4OTQ4ZWEzODQiLCJ1c2VySWQiOiIyNzk5NzI4MjUifQ==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9FD935D4437C4A55A3604DBEEE4D16F2_12</vt:lpwstr>
  </property>
</Properties>
</file>