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6B87"/>
          <w:sz w:val="24"/>
        </w:rPr>
        <w:t>PRODUCT WORKFLOW &amp; CONFIGURATION BLUEPRINT</w:t>
      </w:r>
    </w:p>
    <w:p>
      <w:pPr>
        <w:pStyle w:val="Title"/>
        <w:jc w:val="center"/>
      </w:pPr>
      <w:r>
        <w:t>Multi-Industry WhatsApp</w:t>
        <w:br/>
        <w:t>Sales Automation CRM</w:t>
      </w:r>
    </w:p>
    <w:p>
      <w:pPr>
        <w:jc w:val="center"/>
      </w:pPr>
      <w:r>
        <w:rPr>
          <w:color w:val="5A6473"/>
          <w:sz w:val="24"/>
        </w:rPr>
        <w:t>A practical blueprint for a configurable, multi-tenant SaaS platform</w:t>
      </w:r>
    </w:p>
    <w:p/>
    <w:tbl>
      <w:tblPr>
        <w:tblW w:type="auto" w:w="0"/>
        <w:tblLayout w:type="autofit"/>
        <w:tblLook w:firstColumn="1" w:firstRow="1" w:lastColumn="0" w:lastRow="0" w:noHBand="0" w:noVBand="1" w:val="04A0"/>
      </w:tblPr>
      <w:tblGrid>
        <w:gridCol w:w="10080"/>
      </w:tblGrid>
      <w:tr>
        <w:tc>
          <w:tcPr>
            <w:tcW w:type="dxa" w:w="10080"/>
            <w:shd w:fill="EAF3F7"/>
          </w:tcPr>
          <w:p>
            <w:pPr>
              <w:spacing w:after="120"/>
            </w:pPr>
            <w:r/>
            <w:r>
              <w:rPr>
                <w:b/>
                <w:color w:val="16324F"/>
              </w:rPr>
              <w:t>PRODUCT PRINCIPLE</w:t>
              <w:br/>
            </w:r>
            <w:r>
              <w:t>Build one shared CRM engine. Let each business configure its fields, pipeline, rules and message journeys. Connect each lead source through a supported integration, API, webhook or import.</w:t>
            </w:r>
          </w:p>
        </w:tc>
      </w:tr>
    </w:tbl>
    <w:p/>
    <w:p>
      <w:pPr>
        <w:jc w:val="center"/>
      </w:pPr>
      <w:r>
        <w:rPr>
          <w:i/>
        </w:rPr>
        <w:t>Prepared as an initial product requirements and workflow document</w:t>
      </w:r>
    </w:p>
    <w:p>
      <w:r>
        <w:br w:type="page"/>
      </w:r>
    </w:p>
    <w:p>
      <w:pPr>
        <w:pStyle w:val="Heading1"/>
      </w:pPr>
      <w:r>
        <w:t>1. Executive Summary</w:t>
      </w:r>
    </w:p>
    <w:p>
      <w:r>
        <w:t>The product is a multi-tenant SaaS platform combining WhatsApp messaging, lead management, sales-team operations, automated follow-ups, quotation workflows and reporting. It is intended to support different industries without maintaining a separate codebase for each one.</w:t>
      </w:r>
    </w:p>
    <w:p>
      <w:r>
        <w:t>The design must distinguish three concerns: (1) the common CRM engine, (2) tenant-level configuration, and (3) integrations with external lead sources and business tools. A real-estate company may receive leads from Magicbricks, an IT agency from its website, and a coaching institute from an advertising campaign. The source-specific connection changes, but the shared lead-management engine can remain the same.</w:t>
      </w:r>
    </w:p>
    <w:p>
      <w:pPr>
        <w:pStyle w:val="Heading1"/>
      </w:pPr>
      <w:r>
        <w:t>2. Product Architecture: Three Layers</w:t>
      </w:r>
    </w:p>
    <w:p>
      <w:pPr>
        <w:pStyle w:val="Heading2"/>
      </w:pPr>
      <w:r>
        <w:t>Layer A — Common CRM engine</w:t>
      </w:r>
    </w:p>
    <w:p>
      <w:r>
        <w:t>Lead and contact records, deduplication, employee assignment, tasks, reminders, pipeline, activity timeline, WhatsApp/email actions, quotations, audit logs and analytics.</w:t>
      </w:r>
    </w:p>
    <w:p>
      <w:pPr>
        <w:pStyle w:val="Heading2"/>
      </w:pPr>
      <w:r>
        <w:t>Layer B — Configuration system</w:t>
      </w:r>
    </w:p>
    <w:p>
      <w:r>
        <w:t>Custom fields, pipeline stages, lead statuses, assignment rules, SLA timers, scoring rules, workflow triggers, message templates, business hours and role permissions.</w:t>
      </w:r>
    </w:p>
    <w:p>
      <w:pPr>
        <w:pStyle w:val="Heading2"/>
      </w:pPr>
      <w:r>
        <w:t>Layer C — Integrations and industry packs</w:t>
      </w:r>
    </w:p>
    <w:p>
      <w:r>
        <w:t>Website forms, WhatsApp provider, email, APIs, webhooks, CSV imports and supported third-party connectors. Industry packs may provide starter fields, stages, workflows and reports.</w:t>
      </w:r>
    </w:p>
    <w:p>
      <w:pPr>
        <w:pStyle w:val="Heading1"/>
      </w:pPr>
      <w:r>
        <w:t>3. Example: How Magicbricks Leads Enter the CRM</w:t>
      </w:r>
    </w:p>
    <w:p>
      <w:r>
        <w:t>Do not assume that Magicbricks provides a public API or direct integration suitable for every account. Confirm the customer's available lead-delivery options and the platform's current terms before promising a connector.</w:t>
      </w:r>
    </w:p>
    <w:p>
      <w:pPr>
        <w:pStyle w:val="ListNumber"/>
        <w:spacing w:after="60"/>
      </w:pPr>
      <w:r>
        <w:t>The real-estate customer connects an available lead source, if an approved integration exists, or chooses another supported intake method.</w:t>
      </w:r>
    </w:p>
    <w:p>
      <w:pPr>
        <w:pStyle w:val="ListNumber"/>
        <w:spacing w:after="60"/>
      </w:pPr>
      <w:r>
        <w:t>If the source supports a webhook or API, the integration receives the lead payload. If it provides email notifications or exports instead, use an authorized parser or CSV import only where permitted and technically reliable.</w:t>
      </w:r>
    </w:p>
    <w:p>
      <w:pPr>
        <w:pStyle w:val="ListNumber"/>
        <w:spacing w:after="60"/>
      </w:pPr>
      <w:r>
        <w:t>The connector maps source fields to common CRM fields: name, phone, email, source, enquiry text, property preference, location and received time.</w:t>
      </w:r>
    </w:p>
    <w:p>
      <w:pPr>
        <w:pStyle w:val="ListNumber"/>
        <w:spacing w:after="60"/>
      </w:pPr>
      <w:r>
        <w:t>The system normalizes the phone number and checks for duplicates within the correct tenant.</w:t>
      </w:r>
    </w:p>
    <w:p>
      <w:pPr>
        <w:pStyle w:val="ListNumber"/>
        <w:spacing w:after="60"/>
      </w:pPr>
      <w:r>
        <w:t>A new lead is created or an existing record is updated according to configurable duplicate rules.</w:t>
      </w:r>
    </w:p>
    <w:p>
      <w:pPr>
        <w:pStyle w:val="ListNumber"/>
        <w:spacing w:after="60"/>
      </w:pPr>
      <w:r>
        <w:t>The assignment engine selects a salesperson using round-robin, territory, property/project, workload or manual assignment.</w:t>
      </w:r>
    </w:p>
    <w:p>
      <w:pPr>
        <w:pStyle w:val="ListNumber"/>
        <w:spacing w:after="60"/>
      </w:pPr>
      <w:r>
        <w:t>The system logs the source and intake method, sends an internal alert and triggers a WhatsApp message only when the required permissions, approved templates and messaging rules allow it.</w:t>
      </w:r>
    </w:p>
    <w:p>
      <w:pPr>
        <w:pStyle w:val="ListNumber"/>
        <w:spacing w:after="60"/>
      </w:pPr>
      <w:r>
        <w:t>The assigned salesperson contacts the lead, records the outcome and schedules the next action.</w:t>
      </w:r>
    </w:p>
    <w:p>
      <w:pPr>
        <w:pStyle w:val="Heading1"/>
      </w:pPr>
      <w:r>
        <w:t>4. Industry-Agnostic Lead Data Model</w:t>
      </w:r>
    </w:p>
    <w:p>
      <w:r>
        <w:t>Use a stable set of common fields, plus tenant-defined custom fields. Avoid hard-coding real-estate-only fields into the core lead table.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6324F"/>
          </w:tcPr>
          <w:p>
            <w:r/>
            <w:r>
              <w:rPr>
                <w:b/>
                <w:color w:val="FFFFFF"/>
                <w:sz w:val="17"/>
              </w:rPr>
              <w:t>Field group</w:t>
            </w:r>
          </w:p>
        </w:tc>
        <w:tc>
          <w:tcPr>
            <w:tcW w:type="dxa" w:w="3360"/>
            <w:shd w:fill="16324F"/>
          </w:tcPr>
          <w:p>
            <w:r/>
            <w:r>
              <w:rPr>
                <w:b/>
                <w:color w:val="FFFFFF"/>
                <w:sz w:val="17"/>
              </w:rPr>
              <w:t>Examples</w:t>
            </w:r>
          </w:p>
        </w:tc>
        <w:tc>
          <w:tcPr>
            <w:tcW w:type="dxa" w:w="3360"/>
            <w:shd w:fill="16324F"/>
          </w:tcPr>
          <w:p>
            <w:r/>
            <w:r>
              <w:rPr>
                <w:b/>
                <w:color w:val="FFFFFF"/>
                <w:sz w:val="17"/>
              </w:rPr>
              <w:t>Purpose</w:t>
            </w:r>
          </w:p>
        </w:tc>
      </w:tr>
      <w:tr>
        <w:tc>
          <w:tcPr>
            <w:tcW w:type="dxa" w:w="3360"/>
          </w:tcPr>
          <w:p>
            <w:r/>
            <w:r>
              <w:rPr>
                <w:b w:val="0"/>
                <w:sz w:val="17"/>
              </w:rPr>
              <w:t>Identity</w:t>
            </w:r>
          </w:p>
        </w:tc>
        <w:tc>
          <w:tcPr>
            <w:tcW w:type="dxa" w:w="3360"/>
          </w:tcPr>
          <w:p>
            <w:r/>
            <w:r>
              <w:rPr>
                <w:b w:val="0"/>
                <w:sz w:val="17"/>
              </w:rPr>
              <w:t>Lead ID, name, phone, email, company</w:t>
            </w:r>
          </w:p>
        </w:tc>
        <w:tc>
          <w:tcPr>
            <w:tcW w:type="dxa" w:w="3360"/>
          </w:tcPr>
          <w:p>
            <w:r/>
            <w:r>
              <w:rPr>
                <w:b w:val="0"/>
                <w:sz w:val="17"/>
              </w:rPr>
              <w:t>Identify and contact the prospect</w:t>
            </w:r>
          </w:p>
        </w:tc>
      </w:tr>
      <w:tr>
        <w:tc>
          <w:tcPr>
            <w:tcW w:type="dxa" w:w="3360"/>
          </w:tcPr>
          <w:p>
            <w:r/>
            <w:r>
              <w:rPr>
                <w:b w:val="0"/>
                <w:sz w:val="17"/>
              </w:rPr>
              <w:t>Acquisition</w:t>
            </w:r>
          </w:p>
        </w:tc>
        <w:tc>
          <w:tcPr>
            <w:tcW w:type="dxa" w:w="3360"/>
          </w:tcPr>
          <w:p>
            <w:r/>
            <w:r>
              <w:rPr>
                <w:b w:val="0"/>
                <w:sz w:val="17"/>
              </w:rPr>
              <w:t>Source, campaign, source lead ID, received time</w:t>
            </w:r>
          </w:p>
        </w:tc>
        <w:tc>
          <w:tcPr>
            <w:tcW w:type="dxa" w:w="3360"/>
          </w:tcPr>
          <w:p>
            <w:r/>
            <w:r>
              <w:rPr>
                <w:b w:val="0"/>
                <w:sz w:val="17"/>
              </w:rPr>
              <w:t>Trace where the lead came from</w:t>
            </w:r>
          </w:p>
        </w:tc>
      </w:tr>
      <w:tr>
        <w:tc>
          <w:tcPr>
            <w:tcW w:type="dxa" w:w="3360"/>
          </w:tcPr>
          <w:p>
            <w:r/>
            <w:r>
              <w:rPr>
                <w:b w:val="0"/>
                <w:sz w:val="17"/>
              </w:rPr>
              <w:t>Ownership</w:t>
            </w:r>
          </w:p>
        </w:tc>
        <w:tc>
          <w:tcPr>
            <w:tcW w:type="dxa" w:w="3360"/>
          </w:tcPr>
          <w:p>
            <w:r/>
            <w:r>
              <w:rPr>
                <w:b w:val="0"/>
                <w:sz w:val="17"/>
              </w:rPr>
              <w:t>Assigned user, team, assigned time</w:t>
            </w:r>
          </w:p>
        </w:tc>
        <w:tc>
          <w:tcPr>
            <w:tcW w:type="dxa" w:w="3360"/>
          </w:tcPr>
          <w:p>
            <w:r/>
            <w:r>
              <w:rPr>
                <w:b w:val="0"/>
                <w:sz w:val="17"/>
              </w:rPr>
              <w:t>Define responsibility</w:t>
            </w:r>
          </w:p>
        </w:tc>
      </w:tr>
      <w:tr>
        <w:tc>
          <w:tcPr>
            <w:tcW w:type="dxa" w:w="3360"/>
          </w:tcPr>
          <w:p>
            <w:r/>
            <w:r>
              <w:rPr>
                <w:b w:val="0"/>
                <w:sz w:val="17"/>
              </w:rPr>
              <w:t>Qualification</w:t>
            </w:r>
          </w:p>
        </w:tc>
        <w:tc>
          <w:tcPr>
            <w:tcW w:type="dxa" w:w="3360"/>
          </w:tcPr>
          <w:p>
            <w:r/>
            <w:r>
              <w:rPr>
                <w:b w:val="0"/>
                <w:sz w:val="17"/>
              </w:rPr>
              <w:t>Status, temperature, score, reason, budget</w:t>
            </w:r>
          </w:p>
        </w:tc>
        <w:tc>
          <w:tcPr>
            <w:tcW w:type="dxa" w:w="3360"/>
          </w:tcPr>
          <w:p>
            <w:r/>
            <w:r>
              <w:rPr>
                <w:b w:val="0"/>
                <w:sz w:val="17"/>
              </w:rPr>
              <w:t>Prioritize work</w:t>
            </w:r>
          </w:p>
        </w:tc>
      </w:tr>
      <w:tr>
        <w:tc>
          <w:tcPr>
            <w:tcW w:type="dxa" w:w="3360"/>
          </w:tcPr>
          <w:p>
            <w:r/>
            <w:r>
              <w:rPr>
                <w:b w:val="0"/>
                <w:sz w:val="17"/>
              </w:rPr>
              <w:t>Pipeline</w:t>
            </w:r>
          </w:p>
        </w:tc>
        <w:tc>
          <w:tcPr>
            <w:tcW w:type="dxa" w:w="3360"/>
          </w:tcPr>
          <w:p>
            <w:r/>
            <w:r>
              <w:rPr>
                <w:b w:val="0"/>
                <w:sz w:val="17"/>
              </w:rPr>
              <w:t>Stage, expected value, expected close date</w:t>
            </w:r>
          </w:p>
        </w:tc>
        <w:tc>
          <w:tcPr>
            <w:tcW w:type="dxa" w:w="3360"/>
          </w:tcPr>
          <w:p>
            <w:r/>
            <w:r>
              <w:rPr>
                <w:b w:val="0"/>
                <w:sz w:val="17"/>
              </w:rPr>
              <w:t>Track opportunity progress</w:t>
            </w:r>
          </w:p>
        </w:tc>
      </w:tr>
      <w:tr>
        <w:tc>
          <w:tcPr>
            <w:tcW w:type="dxa" w:w="3360"/>
          </w:tcPr>
          <w:p>
            <w:r/>
            <w:r>
              <w:rPr>
                <w:b w:val="0"/>
                <w:sz w:val="17"/>
              </w:rPr>
              <w:t>Next action</w:t>
            </w:r>
          </w:p>
        </w:tc>
        <w:tc>
          <w:tcPr>
            <w:tcW w:type="dxa" w:w="3360"/>
          </w:tcPr>
          <w:p>
            <w:r/>
            <w:r>
              <w:rPr>
                <w:b w:val="0"/>
                <w:sz w:val="17"/>
              </w:rPr>
              <w:t>Task, due date, owner, reminder status</w:t>
            </w:r>
          </w:p>
        </w:tc>
        <w:tc>
          <w:tcPr>
            <w:tcW w:type="dxa" w:w="3360"/>
          </w:tcPr>
          <w:p>
            <w:r/>
            <w:r>
              <w:rPr>
                <w:b w:val="0"/>
                <w:sz w:val="17"/>
              </w:rPr>
              <w:t>Prevent leads from being forgotten</w:t>
            </w:r>
          </w:p>
        </w:tc>
      </w:tr>
      <w:tr>
        <w:tc>
          <w:tcPr>
            <w:tcW w:type="dxa" w:w="3360"/>
          </w:tcPr>
          <w:p>
            <w:r/>
            <w:r>
              <w:rPr>
                <w:b w:val="0"/>
                <w:sz w:val="17"/>
              </w:rPr>
              <w:t>History</w:t>
            </w:r>
          </w:p>
        </w:tc>
        <w:tc>
          <w:tcPr>
            <w:tcW w:type="dxa" w:w="3360"/>
          </w:tcPr>
          <w:p>
            <w:r/>
            <w:r>
              <w:rPr>
                <w:b w:val="0"/>
                <w:sz w:val="17"/>
              </w:rPr>
              <w:t>Messages, calls, notes, emails, status changes</w:t>
            </w:r>
          </w:p>
        </w:tc>
        <w:tc>
          <w:tcPr>
            <w:tcW w:type="dxa" w:w="3360"/>
          </w:tcPr>
          <w:p>
            <w:r/>
            <w:r>
              <w:rPr>
                <w:b w:val="0"/>
                <w:sz w:val="17"/>
              </w:rPr>
              <w:t>Keep one auditable timeline</w:t>
            </w:r>
          </w:p>
        </w:tc>
      </w:tr>
      <w:tr>
        <w:tc>
          <w:tcPr>
            <w:tcW w:type="dxa" w:w="3360"/>
          </w:tcPr>
          <w:p>
            <w:r/>
            <w:r>
              <w:rPr>
                <w:b w:val="0"/>
                <w:sz w:val="17"/>
              </w:rPr>
              <w:t>Custom fields</w:t>
            </w:r>
          </w:p>
        </w:tc>
        <w:tc>
          <w:tcPr>
            <w:tcW w:type="dxa" w:w="3360"/>
          </w:tcPr>
          <w:p>
            <w:r/>
            <w:r>
              <w:rPr>
                <w:b w:val="0"/>
                <w:sz w:val="17"/>
              </w:rPr>
              <w:t>Property type, course, service type, vehicle model</w:t>
            </w:r>
          </w:p>
        </w:tc>
        <w:tc>
          <w:tcPr>
            <w:tcW w:type="dxa" w:w="3360"/>
          </w:tcPr>
          <w:p>
            <w:r/>
            <w:r>
              <w:rPr>
                <w:b w:val="0"/>
                <w:sz w:val="17"/>
              </w:rPr>
              <w:t>Capture industry-specific details</w:t>
            </w:r>
          </w:p>
        </w:tc>
      </w:tr>
    </w:tbl>
    <w:p>
      <w:pPr>
        <w:pStyle w:val="Heading1"/>
      </w:pPr>
      <w:r>
        <w:t>5. What Should Be Configurable?</w:t>
      </w:r>
    </w:p>
    <w:p>
      <w:pPr>
        <w:pStyle w:val="ListBullet"/>
        <w:spacing w:after="60"/>
      </w:pPr>
      <w:r>
        <w:rPr>
          <w:b/>
        </w:rPr>
        <w:t xml:space="preserve">Custom fields: </w:t>
      </w:r>
      <w:r>
        <w:t>Text, number, date, dropdown, multi-select, checkbox, currency, URL and file fields. Each field has a label, required/optional setting, visibility and validation.</w:t>
      </w:r>
    </w:p>
    <w:p>
      <w:pPr>
        <w:pStyle w:val="ListBullet"/>
        <w:spacing w:after="60"/>
      </w:pPr>
      <w:r>
        <w:rPr>
          <w:b/>
        </w:rPr>
        <w:t xml:space="preserve">Pipeline stages: </w:t>
      </w:r>
      <w:r>
        <w:t>Businesses can rename, add, reorder and disable stages. Example: New → Contacted → Qualified → Demo/Site Visit → Proposal/Quotation → Negotiation → Won/Lost.</w:t>
      </w:r>
    </w:p>
    <w:p>
      <w:pPr>
        <w:pStyle w:val="ListBullet"/>
        <w:spacing w:after="60"/>
      </w:pPr>
      <w:r>
        <w:rPr>
          <w:b/>
        </w:rPr>
        <w:t xml:space="preserve">Lead statuses: </w:t>
      </w:r>
      <w:r>
        <w:t>New, uncontacted, contacted, interested, callback requested, not interested, invalid and nurture are example values; each tenant can configure its own.</w:t>
      </w:r>
    </w:p>
    <w:p>
      <w:pPr>
        <w:pStyle w:val="ListBullet"/>
        <w:spacing w:after="60"/>
      </w:pPr>
      <w:r>
        <w:rPr>
          <w:b/>
        </w:rPr>
        <w:t xml:space="preserve">Assignment rules: </w:t>
      </w:r>
      <w:r>
        <w:t>Manual, round-robin, geography, team, product/service, availability, workload or source-based assignment.</w:t>
      </w:r>
    </w:p>
    <w:p>
      <w:pPr>
        <w:pStyle w:val="ListBullet"/>
        <w:spacing w:after="60"/>
      </w:pPr>
      <w:r>
        <w:rPr>
          <w:b/>
        </w:rPr>
        <w:t xml:space="preserve">SLA rules: </w:t>
      </w:r>
      <w:r>
        <w:t>Set first-response target, follow-up due time, escalation recipient and reassignment behaviour.</w:t>
      </w:r>
    </w:p>
    <w:p>
      <w:pPr>
        <w:pStyle w:val="ListBullet"/>
        <w:spacing w:after="60"/>
      </w:pPr>
      <w:r>
        <w:rPr>
          <w:b/>
        </w:rPr>
        <w:t xml:space="preserve">Lead scoring: </w:t>
      </w:r>
      <w:r>
        <w:t>Rules based on stated intent, responses, budget, meeting requests, quote requests and engagement. Display score reasons and allow authorized overrides.</w:t>
      </w:r>
    </w:p>
    <w:p>
      <w:pPr>
        <w:pStyle w:val="ListBullet"/>
        <w:spacing w:after="60"/>
      </w:pPr>
      <w:r>
        <w:rPr>
          <w:b/>
        </w:rPr>
        <w:t xml:space="preserve">Automation rules: </w:t>
      </w:r>
      <w:r>
        <w:t>Trigger + conditions + actions + timing + exit criteria. Provide test mode, audit log, pause and version history.</w:t>
      </w:r>
    </w:p>
    <w:p>
      <w:pPr>
        <w:pStyle w:val="ListBullet"/>
        <w:spacing w:after="60"/>
      </w:pPr>
      <w:r>
        <w:rPr>
          <w:b/>
        </w:rPr>
        <w:t xml:space="preserve">Templates: </w:t>
      </w:r>
      <w:r>
        <w:t>Tenant-owned message templates, email templates, quotation layouts and approved WhatsApp templates, subject to provider/API capabilities.</w:t>
      </w:r>
    </w:p>
    <w:p>
      <w:pPr>
        <w:pStyle w:val="ListBullet"/>
        <w:spacing w:after="60"/>
      </w:pPr>
      <w:r>
        <w:rPr>
          <w:b/>
        </w:rPr>
        <w:t xml:space="preserve">Roles and permissions: </w:t>
      </w:r>
      <w:r>
        <w:t>Admin, manager, salesperson, quotation/finance role and read-only roles; restrict data by tenant, team, ownership and permission.</w:t>
      </w:r>
    </w:p>
    <w:p>
      <w:pPr>
        <w:pStyle w:val="ListBullet"/>
        <w:spacing w:after="60"/>
      </w:pPr>
      <w:r>
        <w:rPr>
          <w:b/>
        </w:rPr>
        <w:t xml:space="preserve">Business settings: </w:t>
      </w:r>
      <w:r>
        <w:t>Working hours, holidays, time zone, currency, language, notification preferences and retention settings.</w:t>
      </w:r>
    </w:p>
    <w:p>
      <w:pPr>
        <w:pStyle w:val="Heading1"/>
      </w:pPr>
      <w:r>
        <w:t>6. End-to-End Common Workflow</w:t>
      </w:r>
    </w:p>
    <w:p>
      <w:pPr>
        <w:pStyle w:val="ListNumber"/>
        <w:spacing w:after="60"/>
      </w:pPr>
      <w:r>
        <w:rPr>
          <w:b/>
        </w:rPr>
        <w:t xml:space="preserve">Lead capture — </w:t>
      </w:r>
      <w:r>
        <w:t>Accept leads from configured forms, supported integrations, APIs/webhooks, manual entry or authorized CSV import. Record source and intake time.</w:t>
      </w:r>
    </w:p>
    <w:p>
      <w:pPr>
        <w:pStyle w:val="ListNumber"/>
        <w:spacing w:after="60"/>
      </w:pPr>
      <w:r>
        <w:rPr>
          <w:b/>
        </w:rPr>
        <w:t xml:space="preserve">Validation and deduplication — </w:t>
      </w:r>
      <w:r>
        <w:t>Validate required fields, normalize contact details, check duplicates and apply the tenant's create/merge/review rule.</w:t>
      </w:r>
    </w:p>
    <w:p>
      <w:pPr>
        <w:pStyle w:val="ListNumber"/>
        <w:spacing w:after="60"/>
      </w:pPr>
      <w:r>
        <w:rPr>
          <w:b/>
        </w:rPr>
        <w:t xml:space="preserve">Assignment — </w:t>
      </w:r>
      <w:r>
        <w:t>Assign according to the tenant's configured rules. If no eligible owner exists, place the lead in an unassigned queue and alert a manager.</w:t>
      </w:r>
    </w:p>
    <w:p>
      <w:pPr>
        <w:pStyle w:val="ListNumber"/>
        <w:spacing w:after="60"/>
      </w:pPr>
      <w:r>
        <w:rPr>
          <w:b/>
        </w:rPr>
        <w:t xml:space="preserve">First response — </w:t>
      </w:r>
      <w:r>
        <w:t>Send an internal notification and, if permitted, a relevant approved WhatsApp template or other configured message. Log provider status and errors.</w:t>
      </w:r>
    </w:p>
    <w:p>
      <w:pPr>
        <w:pStyle w:val="ListNumber"/>
        <w:spacing w:after="60"/>
      </w:pPr>
      <w:r>
        <w:rPr>
          <w:b/>
        </w:rPr>
        <w:t xml:space="preserve">Sales contact — </w:t>
      </w:r>
      <w:r>
        <w:t>The salesperson calls/messages the prospect, adds notes, updates status and selects a next action. The system should make the next action visible.</w:t>
      </w:r>
    </w:p>
    <w:p>
      <w:pPr>
        <w:pStyle w:val="ListNumber"/>
        <w:spacing w:after="60"/>
      </w:pPr>
      <w:r>
        <w:rPr>
          <w:b/>
        </w:rPr>
        <w:t xml:space="preserve">Qualification and temperature — </w:t>
      </w:r>
      <w:r>
        <w:t>Calculate or update Hot/Warm/Cold using transparent rules. A lack of read receipt alone must not mark a lead cold.</w:t>
      </w:r>
    </w:p>
    <w:p>
      <w:pPr>
        <w:pStyle w:val="ListNumber"/>
        <w:spacing w:after="60"/>
      </w:pPr>
      <w:r>
        <w:rPr>
          <w:b/>
        </w:rPr>
        <w:t xml:space="preserve">Follow-up scheduling — </w:t>
      </w:r>
      <w:r>
        <w:t>Create a due task based on the customer's preference, the stage and business rules. Remind the owner before due time and escalate overdue work.</w:t>
      </w:r>
    </w:p>
    <w:p>
      <w:pPr>
        <w:pStyle w:val="ListNumber"/>
        <w:spacing w:after="60"/>
      </w:pPr>
      <w:r>
        <w:rPr>
          <w:b/>
        </w:rPr>
        <w:t xml:space="preserve">Quotation or proposal request — </w:t>
      </w:r>
      <w:r>
        <w:t>When the prospect is interested, collect the required details and route a quotation request to the responsible employee for preparation and approval.</w:t>
      </w:r>
    </w:p>
    <w:p>
      <w:pPr>
        <w:pStyle w:val="ListNumber"/>
        <w:spacing w:after="60"/>
      </w:pPr>
      <w:r>
        <w:rPr>
          <w:b/>
        </w:rPr>
        <w:t xml:space="preserve">Send quotation — </w:t>
      </w:r>
      <w:r>
        <w:t>Generate the approved document and email it to the verified intended recipient. Store version, amount, date, expiry and delivery outcome.</w:t>
      </w:r>
    </w:p>
    <w:p>
      <w:pPr>
        <w:pStyle w:val="ListNumber"/>
        <w:spacing w:after="60"/>
      </w:pPr>
      <w:r>
        <w:rPr>
          <w:b/>
        </w:rPr>
        <w:t xml:space="preserve">Quotation follow-up — </w:t>
      </w:r>
      <w:r>
        <w:t>Create a follow-up task based on the agreed date, quote expiry and customer preference. Avoid generic messages when the customer has replied or opted out.</w:t>
      </w:r>
    </w:p>
    <w:p>
      <w:pPr>
        <w:pStyle w:val="ListNumber"/>
        <w:spacing w:after="60"/>
      </w:pPr>
      <w:r>
        <w:rPr>
          <w:b/>
        </w:rPr>
        <w:t xml:space="preserve">Close opportunity — </w:t>
      </w:r>
      <w:r>
        <w:t>Record Won, Lost, Deferred or another configured outcome, with optional reason, final value and close date.</w:t>
      </w:r>
    </w:p>
    <w:p>
      <w:pPr>
        <w:pStyle w:val="ListNumber"/>
        <w:spacing w:after="60"/>
      </w:pPr>
      <w:r>
        <w:rPr>
          <w:b/>
        </w:rPr>
        <w:t xml:space="preserve">Analytics — </w:t>
      </w:r>
      <w:r>
        <w:t>Report lead volume, response time, overdue tasks, stage conversion, quote conversion, win/loss reasons, source ROI and team workload.</w:t>
      </w:r>
    </w:p>
    <w:p>
      <w:pPr>
        <w:pStyle w:val="Heading1"/>
      </w:pPr>
      <w:r>
        <w:t>7. Automation Rule Design</w:t>
      </w:r>
    </w:p>
    <w:p>
      <w:r>
        <w:t>Use a reusable rule format rather than writing a separate code path for every industry's workflow:</w:t>
      </w:r>
    </w:p>
    <w:tbl>
      <w:tblPr>
        <w:tblStyle w:val="LightShading-Accent1"/>
        <w:tblW w:type="auto" w:w="0"/>
        <w:tblLook w:firstColumn="1" w:firstRow="1" w:lastColumn="0" w:lastRow="0" w:noHBand="0" w:noVBand="1" w:val="04A0"/>
      </w:tblPr>
      <w:tblGrid>
        <w:gridCol w:w="5040"/>
        <w:gridCol w:w="5040"/>
      </w:tblGrid>
      <w:tr>
        <w:tc>
          <w:tcPr>
            <w:tcW w:type="dxa" w:w="5040"/>
            <w:shd w:fill="16324F"/>
          </w:tcPr>
          <w:p>
            <w:r/>
            <w:r>
              <w:rPr>
                <w:b/>
                <w:color w:val="FFFFFF"/>
                <w:sz w:val="17"/>
              </w:rPr>
              <w:t>Rule element</w:t>
            </w:r>
          </w:p>
        </w:tc>
        <w:tc>
          <w:tcPr>
            <w:tcW w:type="dxa" w:w="5040"/>
            <w:shd w:fill="16324F"/>
          </w:tcPr>
          <w:p>
            <w:r/>
            <w:r>
              <w:rPr>
                <w:b/>
                <w:color w:val="FFFFFF"/>
                <w:sz w:val="17"/>
              </w:rPr>
              <w:t>Meaning</w:t>
            </w:r>
          </w:p>
        </w:tc>
      </w:tr>
      <w:tr>
        <w:tc>
          <w:tcPr>
            <w:tcW w:type="dxa" w:w="5040"/>
          </w:tcPr>
          <w:p>
            <w:r/>
            <w:r>
              <w:rPr>
                <w:b/>
                <w:sz w:val="17"/>
              </w:rPr>
              <w:t>Trigger</w:t>
            </w:r>
          </w:p>
        </w:tc>
        <w:tc>
          <w:tcPr>
            <w:tcW w:type="dxa" w:w="5040"/>
          </w:tcPr>
          <w:p>
            <w:r/>
            <w:r>
              <w:rPr>
                <w:b w:val="0"/>
                <w:sz w:val="17"/>
              </w:rPr>
              <w:t>Lead created, field changed, stage changed, reply received, task overdue, quotation sent or scheduled time reached.</w:t>
            </w:r>
          </w:p>
        </w:tc>
      </w:tr>
      <w:tr>
        <w:tc>
          <w:tcPr>
            <w:tcW w:type="dxa" w:w="5040"/>
          </w:tcPr>
          <w:p>
            <w:r/>
            <w:r>
              <w:rPr>
                <w:b/>
                <w:sz w:val="17"/>
              </w:rPr>
              <w:t>Conditions</w:t>
            </w:r>
          </w:p>
        </w:tc>
        <w:tc>
          <w:tcPr>
            <w:tcW w:type="dxa" w:w="5040"/>
          </w:tcPr>
          <w:p>
            <w:r/>
            <w:r>
              <w:rPr>
                <w:b w:val="0"/>
                <w:sz w:val="17"/>
              </w:rPr>
              <w:t>Source, assigned team, stage, temperature, custom field, consent/eligibility, business hours or quote status.</w:t>
            </w:r>
          </w:p>
        </w:tc>
      </w:tr>
      <w:tr>
        <w:tc>
          <w:tcPr>
            <w:tcW w:type="dxa" w:w="5040"/>
          </w:tcPr>
          <w:p>
            <w:r/>
            <w:r>
              <w:rPr>
                <w:b/>
                <w:sz w:val="17"/>
              </w:rPr>
              <w:t>Actions</w:t>
            </w:r>
          </w:p>
        </w:tc>
        <w:tc>
          <w:tcPr>
            <w:tcW w:type="dxa" w:w="5040"/>
          </w:tcPr>
          <w:p>
            <w:r/>
            <w:r>
              <w:rPr>
                <w:b w:val="0"/>
                <w:sz w:val="17"/>
              </w:rPr>
              <w:t>Assign owner, create task, notify user, send eligible message, request approval, generate document or update a field.</w:t>
            </w:r>
          </w:p>
        </w:tc>
      </w:tr>
      <w:tr>
        <w:tc>
          <w:tcPr>
            <w:tcW w:type="dxa" w:w="5040"/>
          </w:tcPr>
          <w:p>
            <w:r/>
            <w:r>
              <w:rPr>
                <w:b/>
                <w:sz w:val="17"/>
              </w:rPr>
              <w:t>Timing</w:t>
            </w:r>
          </w:p>
        </w:tc>
        <w:tc>
          <w:tcPr>
            <w:tcW w:type="dxa" w:w="5040"/>
          </w:tcPr>
          <w:p>
            <w:r/>
            <w:r>
              <w:rPr>
                <w:b w:val="0"/>
                <w:sz w:val="17"/>
              </w:rPr>
              <w:t>Immediately, after a delay, at a fixed date/time or relative to a due date.</w:t>
            </w:r>
          </w:p>
        </w:tc>
      </w:tr>
      <w:tr>
        <w:tc>
          <w:tcPr>
            <w:tcW w:type="dxa" w:w="5040"/>
          </w:tcPr>
          <w:p>
            <w:r/>
            <w:r>
              <w:rPr>
                <w:b/>
                <w:sz w:val="17"/>
              </w:rPr>
              <w:t>Exit/pause rules</w:t>
            </w:r>
          </w:p>
        </w:tc>
        <w:tc>
          <w:tcPr>
            <w:tcW w:type="dxa" w:w="5040"/>
          </w:tcPr>
          <w:p>
            <w:r/>
            <w:r>
              <w:rPr>
                <w:b w:val="0"/>
                <w:sz w:val="17"/>
              </w:rPr>
              <w:t>Stop when a reply arrives, status changes, deal is won/lost, contact opts out or a human pauses the sequence.</w:t>
            </w:r>
          </w:p>
        </w:tc>
      </w:tr>
      <w:tr>
        <w:tc>
          <w:tcPr>
            <w:tcW w:type="dxa" w:w="5040"/>
          </w:tcPr>
          <w:p>
            <w:r/>
            <w:r>
              <w:rPr>
                <w:b/>
                <w:sz w:val="17"/>
              </w:rPr>
              <w:t>Reliability controls</w:t>
            </w:r>
          </w:p>
        </w:tc>
        <w:tc>
          <w:tcPr>
            <w:tcW w:type="dxa" w:w="5040"/>
          </w:tcPr>
          <w:p>
            <w:r/>
            <w:r>
              <w:rPr>
                <w:b w:val="0"/>
                <w:sz w:val="17"/>
              </w:rPr>
              <w:t>Retry policy, idempotency, rate limits, audit log, error queue and duplicate-send protection.</w:t>
            </w:r>
          </w:p>
        </w:tc>
      </w:tr>
    </w:tbl>
    <w:p>
      <w:pPr>
        <w:pStyle w:val="Heading1"/>
      </w:pPr>
      <w:r>
        <w:t>8. Sample Rules</w:t>
      </w:r>
    </w:p>
    <w:p>
      <w:pPr>
        <w:pStyle w:val="ListBullet"/>
        <w:spacing w:after="60"/>
      </w:pPr>
      <w:r>
        <w:rPr>
          <w:b/>
        </w:rPr>
        <w:t xml:space="preserve">New inbound lead: </w:t>
      </w:r>
      <w:r>
        <w:t>Trigger: lead created. Conditions: valid contact and eligible channel. Actions: assign owner, create first-contact task, alert owner, send permitted approved message.</w:t>
      </w:r>
    </w:p>
    <w:p>
      <w:pPr>
        <w:pStyle w:val="ListBullet"/>
        <w:spacing w:after="60"/>
      </w:pPr>
      <w:r>
        <w:rPr>
          <w:b/>
        </w:rPr>
        <w:t xml:space="preserve">No first contact: </w:t>
      </w:r>
      <w:r>
        <w:t>Trigger: response SLA exceeded. Conditions: lead still uncontacted and not closed. Actions: remind owner, then escalate to manager after a configurable grace period.</w:t>
      </w:r>
    </w:p>
    <w:p>
      <w:pPr>
        <w:pStyle w:val="ListBullet"/>
        <w:spacing w:after="60"/>
      </w:pPr>
      <w:r>
        <w:rPr>
          <w:b/>
        </w:rPr>
        <w:t xml:space="preserve">Positive buying signal: </w:t>
      </w:r>
      <w:r>
        <w:t>Trigger: customer expresses interest or requests a meeting/quotation. Actions: pause generic nurture, notify owner, create a priority task and update qualification.</w:t>
      </w:r>
    </w:p>
    <w:p>
      <w:pPr>
        <w:pStyle w:val="ListBullet"/>
        <w:spacing w:after="60"/>
      </w:pPr>
      <w:r>
        <w:rPr>
          <w:b/>
        </w:rPr>
        <w:t xml:space="preserve">Quotation sent: </w:t>
      </w:r>
      <w:r>
        <w:t>Trigger: quotation status becomes Sent. Actions: store sent date and create a follow-up task using the agreed follow-up date or configured default.</w:t>
      </w:r>
    </w:p>
    <w:p>
      <w:pPr>
        <w:pStyle w:val="ListBullet"/>
        <w:spacing w:after="60"/>
      </w:pPr>
      <w:r>
        <w:rPr>
          <w:b/>
        </w:rPr>
        <w:t xml:space="preserve">Customer replies: </w:t>
      </w:r>
      <w:r>
        <w:t>Trigger: inbound reply received. Actions: log reply, pause conflicting automated follow-ups and notify owner; route to a human when needed.</w:t>
      </w:r>
    </w:p>
    <w:p>
      <w:pPr>
        <w:pStyle w:val="ListBullet"/>
        <w:spacing w:after="60"/>
      </w:pPr>
      <w:r>
        <w:rPr>
          <w:b/>
        </w:rPr>
        <w:t xml:space="preserve">Opt-out: </w:t>
      </w:r>
      <w:r>
        <w:t>Trigger: valid opt-out or suppression request. Actions: suppress future marketing messages for the relevant channel and record the event.</w:t>
      </w:r>
    </w:p>
    <w:p>
      <w:pPr>
        <w:pStyle w:val="ListBullet"/>
        <w:spacing w:after="60"/>
      </w:pPr>
      <w:r>
        <w:rPr>
          <w:b/>
        </w:rPr>
        <w:t xml:space="preserve">Lost opportunity: </w:t>
      </w:r>
      <w:r>
        <w:t>Trigger: stage becomes Lost. Actions: require/offer a lost reason, stop active sales sequence and optionally schedule a compliant future re-engagement if allowed.</w:t>
      </w:r>
    </w:p>
    <w:p>
      <w:pPr>
        <w:pStyle w:val="Heading1"/>
      </w:pPr>
      <w:r>
        <w:t>9. Industry Packs: Starting Templates, Not Separate Products</w:t>
      </w:r>
    </w:p>
    <w:p>
      <w:r>
        <w:t>An industry pack should prefill configuration: custom fields, pipeline stages, sample workflows, message drafts and reports. Businesses must be able to edit these defaults.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6324F"/>
          </w:tcPr>
          <w:p>
            <w:r/>
            <w:r>
              <w:rPr>
                <w:b/>
                <w:color w:val="FFFFFF"/>
                <w:sz w:val="17"/>
              </w:rPr>
              <w:t>Industry</w:t>
            </w:r>
          </w:p>
        </w:tc>
        <w:tc>
          <w:tcPr>
            <w:tcW w:type="dxa" w:w="2520"/>
            <w:shd w:fill="16324F"/>
          </w:tcPr>
          <w:p>
            <w:r/>
            <w:r>
              <w:rPr>
                <w:b/>
                <w:color w:val="FFFFFF"/>
                <w:sz w:val="17"/>
              </w:rPr>
              <w:t>Example custom fields</w:t>
            </w:r>
          </w:p>
        </w:tc>
        <w:tc>
          <w:tcPr>
            <w:tcW w:type="dxa" w:w="2520"/>
            <w:shd w:fill="16324F"/>
          </w:tcPr>
          <w:p>
            <w:r/>
            <w:r>
              <w:rPr>
                <w:b/>
                <w:color w:val="FFFFFF"/>
                <w:sz w:val="17"/>
              </w:rPr>
              <w:t>Example pipeline</w:t>
            </w:r>
          </w:p>
        </w:tc>
        <w:tc>
          <w:tcPr>
            <w:tcW w:type="dxa" w:w="2520"/>
            <w:shd w:fill="16324F"/>
          </w:tcPr>
          <w:p>
            <w:r/>
            <w:r>
              <w:rPr>
                <w:b/>
                <w:color w:val="FFFFFF"/>
                <w:sz w:val="17"/>
              </w:rPr>
              <w:t>Example automation</w:t>
            </w:r>
          </w:p>
        </w:tc>
      </w:tr>
      <w:tr>
        <w:tc>
          <w:tcPr>
            <w:tcW w:type="dxa" w:w="2520"/>
          </w:tcPr>
          <w:p>
            <w:r/>
            <w:r>
              <w:rPr>
                <w:b w:val="0"/>
                <w:sz w:val="17"/>
              </w:rPr>
              <w:t>Real estate</w:t>
            </w:r>
          </w:p>
        </w:tc>
        <w:tc>
          <w:tcPr>
            <w:tcW w:type="dxa" w:w="2520"/>
          </w:tcPr>
          <w:p>
            <w:r/>
            <w:r>
              <w:rPr>
                <w:b w:val="0"/>
                <w:sz w:val="17"/>
              </w:rPr>
              <w:t>Property/project, locality, budget, BHK, purchase timeline, site-visit date</w:t>
            </w:r>
          </w:p>
        </w:tc>
        <w:tc>
          <w:tcPr>
            <w:tcW w:type="dxa" w:w="2520"/>
          </w:tcPr>
          <w:p>
            <w:r/>
            <w:r>
              <w:rPr>
                <w:b w:val="0"/>
                <w:sz w:val="17"/>
              </w:rPr>
              <w:t>New → Contacted → Qualified → Site Visit → Negotiation → Won/Lost</w:t>
            </w:r>
          </w:p>
        </w:tc>
        <w:tc>
          <w:tcPr>
            <w:tcW w:type="dxa" w:w="2520"/>
          </w:tcPr>
          <w:p>
            <w:r/>
            <w:r>
              <w:rPr>
                <w:b w:val="0"/>
                <w:sz w:val="17"/>
              </w:rPr>
              <w:t>Assign by project/territory; schedule site visit; remind agent; follow up after visit</w:t>
            </w:r>
          </w:p>
        </w:tc>
      </w:tr>
      <w:tr>
        <w:tc>
          <w:tcPr>
            <w:tcW w:type="dxa" w:w="2520"/>
          </w:tcPr>
          <w:p>
            <w:r/>
            <w:r>
              <w:rPr>
                <w:b w:val="0"/>
                <w:sz w:val="17"/>
              </w:rPr>
              <w:t>IT/services agency</w:t>
            </w:r>
          </w:p>
        </w:tc>
        <w:tc>
          <w:tcPr>
            <w:tcW w:type="dxa" w:w="2520"/>
          </w:tcPr>
          <w:p>
            <w:r/>
            <w:r>
              <w:rPr>
                <w:b w:val="0"/>
                <w:sz w:val="17"/>
              </w:rPr>
              <w:t>Service requested, budget, tech stack, timeline, company size</w:t>
            </w:r>
          </w:p>
        </w:tc>
        <w:tc>
          <w:tcPr>
            <w:tcW w:type="dxa" w:w="2520"/>
          </w:tcPr>
          <w:p>
            <w:r/>
            <w:r>
              <w:rPr>
                <w:b w:val="0"/>
                <w:sz w:val="17"/>
              </w:rPr>
              <w:t>New → Discovery → Qualified → Demo → Proposal → Negotiation → Won/Lost</w:t>
            </w:r>
          </w:p>
        </w:tc>
        <w:tc>
          <w:tcPr>
            <w:tcW w:type="dxa" w:w="2520"/>
          </w:tcPr>
          <w:p>
            <w:r/>
            <w:r>
              <w:rPr>
                <w:b w:val="0"/>
                <w:sz w:val="17"/>
              </w:rPr>
              <w:t>Book discovery call; request quote; follow up after proposal</w:t>
            </w:r>
          </w:p>
        </w:tc>
      </w:tr>
      <w:tr>
        <w:tc>
          <w:tcPr>
            <w:tcW w:type="dxa" w:w="2520"/>
          </w:tcPr>
          <w:p>
            <w:r/>
            <w:r>
              <w:rPr>
                <w:b w:val="0"/>
                <w:sz w:val="17"/>
              </w:rPr>
              <w:t>Coaching/education</w:t>
            </w:r>
          </w:p>
        </w:tc>
        <w:tc>
          <w:tcPr>
            <w:tcW w:type="dxa" w:w="2520"/>
          </w:tcPr>
          <w:p>
            <w:r/>
            <w:r>
              <w:rPr>
                <w:b w:val="0"/>
                <w:sz w:val="17"/>
              </w:rPr>
              <w:t>Course, batch, preferred schedule, location, admission timeline</w:t>
            </w:r>
          </w:p>
        </w:tc>
        <w:tc>
          <w:tcPr>
            <w:tcW w:type="dxa" w:w="2520"/>
          </w:tcPr>
          <w:p>
            <w:r/>
            <w:r>
              <w:rPr>
                <w:b w:val="0"/>
                <w:sz w:val="17"/>
              </w:rPr>
              <w:t>New → Counselled → Demo → Application → Enrolled/Lost</w:t>
            </w:r>
          </w:p>
        </w:tc>
        <w:tc>
          <w:tcPr>
            <w:tcW w:type="dxa" w:w="2520"/>
          </w:tcPr>
          <w:p>
            <w:r/>
            <w:r>
              <w:rPr>
                <w:b w:val="0"/>
                <w:sz w:val="17"/>
              </w:rPr>
              <w:t>Schedule counselling/demo and admission reminders</w:t>
            </w:r>
          </w:p>
        </w:tc>
      </w:tr>
      <w:tr>
        <w:tc>
          <w:tcPr>
            <w:tcW w:type="dxa" w:w="2520"/>
          </w:tcPr>
          <w:p>
            <w:r/>
            <w:r>
              <w:rPr>
                <w:b w:val="0"/>
                <w:sz w:val="17"/>
              </w:rPr>
              <w:t>Clinic/wellness</w:t>
            </w:r>
          </w:p>
        </w:tc>
        <w:tc>
          <w:tcPr>
            <w:tcW w:type="dxa" w:w="2520"/>
          </w:tcPr>
          <w:p>
            <w:r/>
            <w:r>
              <w:rPr>
                <w:b w:val="0"/>
                <w:sz w:val="17"/>
              </w:rPr>
              <w:t>Service, preferred clinician, appointment preference, consent</w:t>
            </w:r>
          </w:p>
        </w:tc>
        <w:tc>
          <w:tcPr>
            <w:tcW w:type="dxa" w:w="2520"/>
          </w:tcPr>
          <w:p>
            <w:r/>
            <w:r>
              <w:rPr>
                <w:b w:val="0"/>
                <w:sz w:val="17"/>
              </w:rPr>
              <w:t>Enquiry → Appointment Requested → Confirmed → Completed/Cancelled</w:t>
            </w:r>
          </w:p>
        </w:tc>
        <w:tc>
          <w:tcPr>
            <w:tcW w:type="dxa" w:w="2520"/>
          </w:tcPr>
          <w:p>
            <w:r/>
            <w:r>
              <w:rPr>
                <w:b w:val="0"/>
                <w:sz w:val="17"/>
              </w:rPr>
              <w:t>Route booking requests and send permitted appointment reminders</w:t>
            </w:r>
          </w:p>
        </w:tc>
      </w:tr>
      <w:tr>
        <w:tc>
          <w:tcPr>
            <w:tcW w:type="dxa" w:w="2520"/>
          </w:tcPr>
          <w:p>
            <w:r/>
            <w:r>
              <w:rPr>
                <w:b w:val="0"/>
                <w:sz w:val="17"/>
              </w:rPr>
              <w:t>Salon/beauty</w:t>
            </w:r>
          </w:p>
        </w:tc>
        <w:tc>
          <w:tcPr>
            <w:tcW w:type="dxa" w:w="2520"/>
          </w:tcPr>
          <w:p>
            <w:r/>
            <w:r>
              <w:rPr>
                <w:b w:val="0"/>
                <w:sz w:val="17"/>
              </w:rPr>
              <w:t>Service, preferred professional, location, date/time</w:t>
            </w:r>
          </w:p>
        </w:tc>
        <w:tc>
          <w:tcPr>
            <w:tcW w:type="dxa" w:w="2520"/>
          </w:tcPr>
          <w:p>
            <w:r/>
            <w:r>
              <w:rPr>
                <w:b w:val="0"/>
                <w:sz w:val="17"/>
              </w:rPr>
              <w:t>Enquiry → Booking Pending → Confirmed → Completed/Cancelled</w:t>
            </w:r>
          </w:p>
        </w:tc>
        <w:tc>
          <w:tcPr>
            <w:tcW w:type="dxa" w:w="2520"/>
          </w:tcPr>
          <w:p>
            <w:r/>
            <w:r>
              <w:rPr>
                <w:b w:val="0"/>
                <w:sz w:val="17"/>
              </w:rPr>
              <w:t>Route service request and send booking reminders</w:t>
            </w:r>
          </w:p>
        </w:tc>
      </w:tr>
      <w:tr>
        <w:tc>
          <w:tcPr>
            <w:tcW w:type="dxa" w:w="2520"/>
          </w:tcPr>
          <w:p>
            <w:r/>
            <w:r>
              <w:rPr>
                <w:b w:val="0"/>
                <w:sz w:val="17"/>
              </w:rPr>
              <w:t>Automotive workshop</w:t>
            </w:r>
          </w:p>
        </w:tc>
        <w:tc>
          <w:tcPr>
            <w:tcW w:type="dxa" w:w="2520"/>
          </w:tcPr>
          <w:p>
            <w:r/>
            <w:r>
              <w:rPr>
                <w:b w:val="0"/>
                <w:sz w:val="17"/>
              </w:rPr>
              <w:t>Vehicle make/model, registration reference, service type, estimate</w:t>
            </w:r>
          </w:p>
        </w:tc>
        <w:tc>
          <w:tcPr>
            <w:tcW w:type="dxa" w:w="2520"/>
          </w:tcPr>
          <w:p>
            <w:r/>
            <w:r>
              <w:rPr>
                <w:b w:val="0"/>
                <w:sz w:val="17"/>
              </w:rPr>
              <w:t>Enquiry → Inspection → Estimate → Approved → In Service → Completed</w:t>
            </w:r>
          </w:p>
        </w:tc>
        <w:tc>
          <w:tcPr>
            <w:tcW w:type="dxa" w:w="2520"/>
          </w:tcPr>
          <w:p>
            <w:r/>
            <w:r>
              <w:rPr>
                <w:b w:val="0"/>
                <w:sz w:val="17"/>
              </w:rPr>
              <w:t>Send estimate for approval and permitted service updates</w:t>
            </w:r>
          </w:p>
        </w:tc>
      </w:tr>
      <w:tr>
        <w:tc>
          <w:tcPr>
            <w:tcW w:type="dxa" w:w="2520"/>
          </w:tcPr>
          <w:p>
            <w:r/>
            <w:r>
              <w:rPr>
                <w:b w:val="0"/>
                <w:sz w:val="17"/>
              </w:rPr>
              <w:t>Wholesale/manufacturing</w:t>
            </w:r>
          </w:p>
        </w:tc>
        <w:tc>
          <w:tcPr>
            <w:tcW w:type="dxa" w:w="2520"/>
          </w:tcPr>
          <w:p>
            <w:r/>
            <w:r>
              <w:rPr>
                <w:b w:val="0"/>
                <w:sz w:val="17"/>
              </w:rPr>
              <w:t>Product/SKU, quantity, delivery location, requirement date</w:t>
            </w:r>
          </w:p>
        </w:tc>
        <w:tc>
          <w:tcPr>
            <w:tcW w:type="dxa" w:w="2520"/>
          </w:tcPr>
          <w:p>
            <w:r/>
            <w:r>
              <w:rPr>
                <w:b w:val="0"/>
                <w:sz w:val="17"/>
              </w:rPr>
              <w:t>Enquiry → Qualified → Pricing → Quote → Negotiation → Won/Lost</w:t>
            </w:r>
          </w:p>
        </w:tc>
        <w:tc>
          <w:tcPr>
            <w:tcW w:type="dxa" w:w="2520"/>
          </w:tcPr>
          <w:p>
            <w:r/>
            <w:r>
              <w:rPr>
                <w:b w:val="0"/>
                <w:sz w:val="17"/>
              </w:rPr>
              <w:t>Route by product category and follow up on quotation</w:t>
            </w:r>
          </w:p>
        </w:tc>
      </w:tr>
    </w:tbl>
    <w:p>
      <w:pPr>
        <w:pStyle w:val="Heading1"/>
      </w:pPr>
      <w:r>
        <w:t>10. Lead Source Integration Strategy</w:t>
      </w:r>
    </w:p>
    <w:p>
      <w:r>
        <w:t>Build a source connector framework. Each connector translates its source-specific payload into the common CRM lead format.</w:t>
      </w:r>
    </w:p>
    <w:p>
      <w:pPr>
        <w:pStyle w:val="ListBullet"/>
        <w:spacing w:after="40"/>
      </w:pPr>
      <w:r>
        <w:t>Website form: post to a secure CRM endpoint or submit through a tenant-specific integration key.</w:t>
      </w:r>
    </w:p>
    <w:p>
      <w:pPr>
        <w:pStyle w:val="ListBullet"/>
        <w:spacing w:after="40"/>
      </w:pPr>
      <w:r>
        <w:t>WhatsApp: receive inbound messages/events through the provider's supported webhook/API; store message status and conversation references.</w:t>
      </w:r>
    </w:p>
    <w:p>
      <w:pPr>
        <w:pStyle w:val="ListBullet"/>
        <w:spacing w:after="40"/>
      </w:pPr>
      <w:r>
        <w:t>Email: use an approved mailbox connection or structured email intake where the source supports it.</w:t>
      </w:r>
    </w:p>
    <w:p>
      <w:pPr>
        <w:pStyle w:val="ListBullet"/>
        <w:spacing w:after="40"/>
      </w:pPr>
      <w:r>
        <w:t>CSV/XLSX import: map columns, preview validation errors, deduplicate and record the import batch.</w:t>
      </w:r>
    </w:p>
    <w:p>
      <w:pPr>
        <w:pStyle w:val="ListBullet"/>
        <w:spacing w:after="40"/>
      </w:pPr>
      <w:r>
        <w:t>External portals such as Magicbricks: first confirm the account's available, authorized lead delivery methods. If a supported API/webhook exists, implement a connector; otherwise offer an approved email/export/import path. Do not promise direct integration until verified.</w:t>
      </w:r>
    </w:p>
    <w:p>
      <w:pPr>
        <w:pStyle w:val="ListBullet"/>
        <w:spacing w:after="40"/>
      </w:pPr>
      <w:r>
        <w:t>Generic API/webhook: provide documented endpoints, authentication, field mapping, retries and event logs.</w:t>
      </w:r>
    </w:p>
    <w:p>
      <w:pPr>
        <w:pStyle w:val="ListBullet"/>
        <w:spacing w:after="40"/>
      </w:pPr>
      <w:r>
        <w:t>Connector monitoring: display connection status, last successful sync, last error, failed records and a safe retry action.</w:t>
      </w:r>
    </w:p>
    <w:p>
      <w:pPr>
        <w:pStyle w:val="Heading1"/>
      </w:pPr>
      <w:r>
        <w:t>11. Multi-Tenant SaaS and Reseller Structure</w:t>
      </w:r>
    </w:p>
    <w:p>
      <w:pPr>
        <w:pStyle w:val="ListBullet"/>
      </w:pPr>
      <w:r>
        <w:rPr>
          <w:b/>
        </w:rPr>
        <w:t xml:space="preserve">Platform owner / super-admin: </w:t>
      </w:r>
      <w:r>
        <w:t>Manage tenant accounts, plans, provider integration, usage, billing, support and platform-level health.</w:t>
      </w:r>
    </w:p>
    <w:p>
      <w:pPr>
        <w:pStyle w:val="ListBullet"/>
      </w:pPr>
      <w:r>
        <w:rPr>
          <w:b/>
        </w:rPr>
        <w:t xml:space="preserve">Reseller (optional tier): </w:t>
      </w:r>
      <w:r>
        <w:t>Manage permitted customer accounts, plan allocation and support. Access must be scoped to assigned tenants and provider permissions.</w:t>
      </w:r>
    </w:p>
    <w:p>
      <w:pPr>
        <w:pStyle w:val="ListBullet"/>
      </w:pPr>
      <w:r>
        <w:rPr>
          <w:b/>
        </w:rPr>
        <w:t xml:space="preserve">Business workspace / tenant: </w:t>
      </w:r>
      <w:r>
        <w:t>Own its users, leads, contacts, fields, workflows, templates, pipeline, reports and settings.</w:t>
      </w:r>
    </w:p>
    <w:p>
      <w:pPr>
        <w:pStyle w:val="ListBullet"/>
      </w:pPr>
      <w:r>
        <w:rPr>
          <w:b/>
        </w:rPr>
        <w:t xml:space="preserve">Business manager: </w:t>
      </w:r>
      <w:r>
        <w:t>Configure workflows, teams, assignment rules, permissions and reporting within that tenant.</w:t>
      </w:r>
    </w:p>
    <w:p>
      <w:pPr>
        <w:pStyle w:val="ListBullet"/>
      </w:pPr>
      <w:r>
        <w:rPr>
          <w:b/>
        </w:rPr>
        <w:t xml:space="preserve">Salesperson: </w:t>
      </w:r>
      <w:r>
        <w:t>See assigned/permitted leads, complete tasks, update status, record activity and request quotations.</w:t>
      </w:r>
    </w:p>
    <w:p>
      <w:pPr>
        <w:pStyle w:val="ListBullet"/>
      </w:pPr>
      <w:r>
        <w:rPr>
          <w:b/>
        </w:rPr>
        <w:t xml:space="preserve">Quotation/finance user: </w:t>
      </w:r>
      <w:r>
        <w:t>Prepare or approve quotes and maintain permitted commercial information.</w:t>
      </w:r>
    </w:p>
    <w:p>
      <w:r>
        <w:t>Security requirement: enforce tenant isolation on the server and in database access patterns, not just by hiding UI elements. Every relevant record, API request, background job, file and report must be scoped to the correct tenant.</w:t>
      </w:r>
    </w:p>
    <w:p>
      <w:pPr>
        <w:pStyle w:val="Heading1"/>
      </w:pPr>
      <w:r>
        <w:t>12. Suggested Core Data Entities</w:t>
      </w:r>
    </w:p>
    <w:p>
      <w:pPr>
        <w:pStyle w:val="ListBullet"/>
        <w:spacing w:after="40"/>
      </w:pPr>
      <w:r>
        <w:t>Tenant / Workspace</w:t>
      </w:r>
    </w:p>
    <w:p>
      <w:pPr>
        <w:pStyle w:val="ListBullet"/>
        <w:spacing w:after="40"/>
      </w:pPr>
      <w:r>
        <w:t>User, Role, Team and Permission</w:t>
      </w:r>
    </w:p>
    <w:p>
      <w:pPr>
        <w:pStyle w:val="ListBullet"/>
        <w:spacing w:after="40"/>
      </w:pPr>
      <w:r>
        <w:t>Lead and Contact</w:t>
      </w:r>
    </w:p>
    <w:p>
      <w:pPr>
        <w:pStyle w:val="ListBullet"/>
        <w:spacing w:after="40"/>
      </w:pPr>
      <w:r>
        <w:t>Lead Source and Integration Connection</w:t>
      </w:r>
    </w:p>
    <w:p>
      <w:pPr>
        <w:pStyle w:val="ListBullet"/>
        <w:spacing w:after="40"/>
      </w:pPr>
      <w:r>
        <w:t>Custom Field Definition and Custom Field Value</w:t>
      </w:r>
    </w:p>
    <w:p>
      <w:pPr>
        <w:pStyle w:val="ListBullet"/>
        <w:spacing w:after="40"/>
      </w:pPr>
      <w:r>
        <w:t>Pipeline, Stage and Status</w:t>
      </w:r>
    </w:p>
    <w:p>
      <w:pPr>
        <w:pStyle w:val="ListBullet"/>
        <w:spacing w:after="40"/>
      </w:pPr>
      <w:r>
        <w:t>Assignment Rule</w:t>
      </w:r>
    </w:p>
    <w:p>
      <w:pPr>
        <w:pStyle w:val="ListBullet"/>
        <w:spacing w:after="40"/>
      </w:pPr>
      <w:r>
        <w:t>Task, Reminder and SLA Event</w:t>
      </w:r>
    </w:p>
    <w:p>
      <w:pPr>
        <w:pStyle w:val="ListBullet"/>
        <w:spacing w:after="40"/>
      </w:pPr>
      <w:r>
        <w:t>Workflow Definition, Workflow Version and Workflow Execution</w:t>
      </w:r>
    </w:p>
    <w:p>
      <w:pPr>
        <w:pStyle w:val="ListBullet"/>
        <w:spacing w:after="40"/>
      </w:pPr>
      <w:r>
        <w:t>Message Template, Conversation, Message and Delivery Event</w:t>
      </w:r>
    </w:p>
    <w:p>
      <w:pPr>
        <w:pStyle w:val="ListBullet"/>
        <w:spacing w:after="40"/>
      </w:pPr>
      <w:r>
        <w:t>Quotation Request, Quotation, Quotation Version and Approval</w:t>
      </w:r>
    </w:p>
    <w:p>
      <w:pPr>
        <w:pStyle w:val="ListBullet"/>
        <w:spacing w:after="40"/>
      </w:pPr>
      <w:r>
        <w:t>Activity Timeline and Audit Log</w:t>
      </w:r>
    </w:p>
    <w:p>
      <w:pPr>
        <w:pStyle w:val="ListBullet"/>
        <w:spacing w:after="40"/>
      </w:pPr>
      <w:r>
        <w:t>Subscription, Usage Ledger and Billing Record (where supported)</w:t>
      </w:r>
    </w:p>
    <w:p>
      <w:pPr>
        <w:pStyle w:val="Heading1"/>
      </w:pPr>
      <w:r>
        <w:t>13. Recommended MVP Scope</w:t>
      </w:r>
    </w:p>
    <w:p>
      <w:pPr>
        <w:pStyle w:val="Heading2"/>
      </w:pPr>
      <w:r>
        <w:t>Phase 1 — Essential workflow</w:t>
      </w:r>
    </w:p>
    <w:p>
      <w:pPr>
        <w:pStyle w:val="ListBullet"/>
        <w:spacing w:after="40"/>
      </w:pPr>
      <w:r>
        <w:t>Tenant signup and workspace settings</w:t>
      </w:r>
    </w:p>
    <w:p>
      <w:pPr>
        <w:pStyle w:val="ListBullet"/>
        <w:spacing w:after="40"/>
      </w:pPr>
      <w:r>
        <w:t>Users, roles, teams and lead ownership</w:t>
      </w:r>
    </w:p>
    <w:p>
      <w:pPr>
        <w:pStyle w:val="ListBullet"/>
        <w:spacing w:after="40"/>
      </w:pPr>
      <w:r>
        <w:t>Manual entry, website form/API intake and CSV import</w:t>
      </w:r>
    </w:p>
    <w:p>
      <w:pPr>
        <w:pStyle w:val="ListBullet"/>
        <w:spacing w:after="40"/>
      </w:pPr>
      <w:r>
        <w:t>Common lead fields plus configurable custom fields</w:t>
      </w:r>
    </w:p>
    <w:p>
      <w:pPr>
        <w:pStyle w:val="ListBullet"/>
        <w:spacing w:after="40"/>
      </w:pPr>
      <w:r>
        <w:t>Deduplication, pipeline, notes and activity timeline</w:t>
      </w:r>
    </w:p>
    <w:p>
      <w:pPr>
        <w:pStyle w:val="ListBullet"/>
        <w:spacing w:after="40"/>
      </w:pPr>
      <w:r>
        <w:t>Configurable assignment and first-response reminders</w:t>
      </w:r>
    </w:p>
    <w:p>
      <w:pPr>
        <w:pStyle w:val="ListBullet"/>
        <w:spacing w:after="40"/>
      </w:pPr>
      <w:r>
        <w:t>WhatsApp provider integration for supported approved messaging and webhook events</w:t>
      </w:r>
    </w:p>
    <w:p>
      <w:pPr>
        <w:pStyle w:val="ListBullet"/>
        <w:spacing w:after="40"/>
      </w:pPr>
      <w:r>
        <w:t>Task scheduling, overdue alerts, basic reports and audit logs</w:t>
      </w:r>
    </w:p>
    <w:p>
      <w:pPr>
        <w:pStyle w:val="Heading2"/>
      </w:pPr>
      <w:r>
        <w:t>Phase 2 — Differentiation</w:t>
      </w:r>
    </w:p>
    <w:p>
      <w:pPr>
        <w:pStyle w:val="ListBullet"/>
        <w:spacing w:after="40"/>
      </w:pPr>
      <w:r>
        <w:t>Visual rule builder with trigger, conditions, actions, delays and stop rules</w:t>
      </w:r>
    </w:p>
    <w:p>
      <w:pPr>
        <w:pStyle w:val="ListBullet"/>
        <w:spacing w:after="40"/>
      </w:pPr>
      <w:r>
        <w:t>Lead scoring with visible reasons and manual override</w:t>
      </w:r>
    </w:p>
    <w:p>
      <w:pPr>
        <w:pStyle w:val="ListBullet"/>
        <w:spacing w:after="40"/>
      </w:pPr>
      <w:r>
        <w:t>Leakage detection and escalation</w:t>
      </w:r>
    </w:p>
    <w:p>
      <w:pPr>
        <w:pStyle w:val="ListBullet"/>
        <w:spacing w:after="40"/>
      </w:pPr>
      <w:r>
        <w:t>Quotation request, preparation, approval, PDF generation and email sending</w:t>
      </w:r>
    </w:p>
    <w:p>
      <w:pPr>
        <w:pStyle w:val="ListBullet"/>
        <w:spacing w:after="40"/>
      </w:pPr>
      <w:r>
        <w:t>Follow-up based on quote state and agreed customer timing</w:t>
      </w:r>
    </w:p>
    <w:p>
      <w:pPr>
        <w:pStyle w:val="ListBullet"/>
        <w:spacing w:after="40"/>
      </w:pPr>
      <w:r>
        <w:t>Source and team conversion reporting</w:t>
      </w:r>
    </w:p>
    <w:p>
      <w:pPr>
        <w:pStyle w:val="Heading2"/>
      </w:pPr>
      <w:r>
        <w:t>Phase 3 — Advanced features</w:t>
      </w:r>
    </w:p>
    <w:p>
      <w:pPr>
        <w:pStyle w:val="ListBullet"/>
        <w:spacing w:after="40"/>
      </w:pPr>
      <w:r>
        <w:t>AI next-action recommendations and assisted note summaries</w:t>
      </w:r>
    </w:p>
    <w:p>
      <w:pPr>
        <w:pStyle w:val="ListBullet"/>
        <w:spacing w:after="40"/>
      </w:pPr>
      <w:r>
        <w:t>Forecasting and risk alerts</w:t>
      </w:r>
    </w:p>
    <w:p>
      <w:pPr>
        <w:pStyle w:val="ListBullet"/>
        <w:spacing w:after="40"/>
      </w:pPr>
      <w:r>
        <w:t>More source connectors based on verified customer demand</w:t>
      </w:r>
    </w:p>
    <w:p>
      <w:pPr>
        <w:pStyle w:val="ListBullet"/>
        <w:spacing w:after="40"/>
      </w:pPr>
      <w:r>
        <w:t>Advanced reseller billing, usage controls and tenant health monitoring</w:t>
      </w:r>
    </w:p>
    <w:p>
      <w:pPr>
        <w:pStyle w:val="ListBullet"/>
        <w:spacing w:after="40"/>
      </w:pPr>
      <w:r>
        <w:t>Industry starter packs and configurable dashboards</w:t>
      </w:r>
    </w:p>
    <w:p>
      <w:pPr>
        <w:pStyle w:val="Heading1"/>
      </w:pPr>
      <w:r>
        <w:t>14. Important Technical and Compliance Guardrails</w:t>
      </w:r>
    </w:p>
    <w:p>
      <w:pPr>
        <w:pStyle w:val="ListBullet"/>
        <w:spacing w:after="40"/>
      </w:pPr>
      <w:r>
        <w:t>Confirm SmartPing's written permission and technical support for resale, white-labeling and multi-tenant use. Do not assume the provider exposes every needed API.</w:t>
      </w:r>
    </w:p>
    <w:p>
      <w:pPr>
        <w:pStyle w:val="ListBullet"/>
        <w:spacing w:after="40"/>
      </w:pPr>
      <w:r>
        <w:t>Confirm each external portal's authorized integration methods and terms before building or selling a connector.</w:t>
      </w:r>
    </w:p>
    <w:p>
      <w:pPr>
        <w:pStyle w:val="ListBullet"/>
        <w:spacing w:after="40"/>
      </w:pPr>
      <w:r>
        <w:t>Follow WhatsApp's current template, consent, opt-out, service-window and messaging rules. An approved template or API connection does not by itself establish permission to message every contact.</w:t>
      </w:r>
    </w:p>
    <w:p>
      <w:pPr>
        <w:pStyle w:val="ListBullet"/>
        <w:spacing w:after="40"/>
      </w:pPr>
      <w:r>
        <w:t>Keep API credentials in a secure secrets store or protected backend configuration; never expose provider secrets in the browser.</w:t>
      </w:r>
    </w:p>
    <w:p>
      <w:pPr>
        <w:pStyle w:val="ListBullet"/>
        <w:spacing w:after="40"/>
      </w:pPr>
      <w:r>
        <w:t>Use tenant-scoped authorization, encryption in transit, least privilege, audit logs, rate limiting and secure webhook verification.</w:t>
      </w:r>
    </w:p>
    <w:p>
      <w:pPr>
        <w:pStyle w:val="ListBullet"/>
        <w:spacing w:after="40"/>
      </w:pPr>
      <w:r>
        <w:t>Make automation idempotent and observable: avoid duplicate lead creation or duplicate messages after retries.</w:t>
      </w:r>
    </w:p>
    <w:p>
      <w:pPr>
        <w:pStyle w:val="ListBullet"/>
        <w:spacing w:after="40"/>
      </w:pPr>
      <w:r>
        <w:t>Provide pause, test/dry-run, failure logs, workflow versioning and a human override.</w:t>
      </w:r>
    </w:p>
    <w:p>
      <w:pPr>
        <w:pStyle w:val="ListBullet"/>
        <w:spacing w:after="40"/>
      </w:pPr>
      <w:r>
        <w:t>Define retention, deletion, export and consent handling appropriate to the business and applicable law.</w:t>
      </w:r>
    </w:p>
    <w:p>
      <w:pPr>
        <w:pStyle w:val="Heading1"/>
      </w:pPr>
      <w:r>
        <w:t>15. Acceptance Criteria for a First Release</w:t>
      </w:r>
    </w:p>
    <w:p>
      <w:pPr>
        <w:pStyle w:val="ListBullet"/>
        <w:spacing w:after="40"/>
      </w:pPr>
      <w:r>
        <w:t>A tenant can create custom fields and configure pipeline stages without a code deployment.</w:t>
      </w:r>
    </w:p>
    <w:p>
      <w:pPr>
        <w:pStyle w:val="ListBullet"/>
        <w:spacing w:after="40"/>
      </w:pPr>
      <w:r>
        <w:t>A lead from a supported source maps to common fields and preserves source metadata.</w:t>
      </w:r>
    </w:p>
    <w:p>
      <w:pPr>
        <w:pStyle w:val="ListBullet"/>
        <w:spacing w:after="40"/>
      </w:pPr>
      <w:r>
        <w:t>Duplicate handling follows the tenant's selected rule and does not silently merge unrelated people.</w:t>
      </w:r>
    </w:p>
    <w:p>
      <w:pPr>
        <w:pStyle w:val="ListBullet"/>
        <w:spacing w:after="40"/>
      </w:pPr>
      <w:r>
        <w:t>Assignment and SLA rules run consistently and log their outcomes.</w:t>
      </w:r>
    </w:p>
    <w:p>
      <w:pPr>
        <w:pStyle w:val="ListBullet"/>
        <w:spacing w:after="40"/>
      </w:pPr>
      <w:r>
        <w:t>A workflow can be paused and cannot send messages after an applicable opt-out.</w:t>
      </w:r>
    </w:p>
    <w:p>
      <w:pPr>
        <w:pStyle w:val="ListBullet"/>
        <w:spacing w:after="40"/>
      </w:pPr>
      <w:r>
        <w:t>Every sent message, failed action, status change and reassignment appears in the activity log.</w:t>
      </w:r>
    </w:p>
    <w:p>
      <w:pPr>
        <w:pStyle w:val="ListBullet"/>
        <w:spacing w:after="40"/>
      </w:pPr>
      <w:r>
        <w:t>Quotation creation and approval permissions are enforced.</w:t>
      </w:r>
    </w:p>
    <w:p>
      <w:pPr>
        <w:pStyle w:val="ListBullet"/>
        <w:spacing w:after="40"/>
      </w:pPr>
      <w:r>
        <w:t>Tenant A cannot access Tenant B's records through UI, API, exports or background jobs.</w:t>
      </w:r>
    </w:p>
    <w:p>
      <w:pPr>
        <w:pStyle w:val="ListBullet"/>
        <w:spacing w:after="40"/>
      </w:pPr>
      <w:r>
        <w:t>Managers can see overdue leads, unassigned leads, pipeline conversion and source performance.</w:t>
      </w:r>
    </w:p>
    <w:p>
      <w:pPr>
        <w:pStyle w:val="ListBullet"/>
        <w:spacing w:after="40"/>
      </w:pPr>
      <w:r>
        <w:t>Unsupported integrations are clearly marked as unavailable rather than shown as connected.</w:t>
      </w:r>
    </w:p>
    <w:p>
      <w:pPr>
        <w:pStyle w:val="Heading1"/>
      </w:pPr>
      <w:r>
        <w:t>16. Product Recommendation</w:t>
      </w:r>
    </w:p>
    <w:p>
      <w:r>
        <w:t>Start with a common CRM engine, a flexible custom-field system, configurable pipelines, a basic automation builder and a connector framework. Launch with a small number of starter packs rather than attempting to build and maintain a custom implementation for every industry. Real-estate portal integration should be validated with actual customer accounts and authorized technical access before it is included in the promised scope.</w:t>
      </w:r>
    </w:p>
    <w:p>
      <w:r>
        <w:rPr>
          <w:b/>
        </w:rPr>
        <w:t xml:space="preserve">Primary differentiator: </w:t>
      </w:r>
      <w:r>
        <w:t>Lead Leakage Prevention + Next Best Action + Quotation Follow-up.</w:t>
      </w:r>
    </w:p>
    <w:p>
      <w:r>
        <w:rPr>
          <w:b/>
        </w:rPr>
        <w:t xml:space="preserve">Product rule: </w:t>
      </w:r>
      <w:r>
        <w:t>Configure business processes; integrate external data sources; keep the core CRM consistent.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Multi-Industry WhatsApp Sales Automation CRM | Product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