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after="240" w:lineRule="auto"/>
      </w:pPr>
      <w:r>
        <w:rPr/>
        <w:t xml:space="preserve">Below is a </w:t>
      </w:r>
      <w:r>
        <w:rPr>
          <w:b/>
        </w:rPr>
        <w:t xml:space="preserve">step‐by‐step</w:t>
      </w:r>
      <w:r>
        <w:rPr>
          <w:rFonts w:eastAsia="Georgia" w:cs="Georgia" w:ascii="Georgia" w:hAnsi="Georgia"/>
        </w:rPr>
        <w:t xml:space="preserve"> walkthrough showing how to build and simplify a 3‐variable K‐map for the output </w:t>
      </w:r>
      <m:oMath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1</m:t>
            </m:r>
          </m:sub>
        </m:sSub>
      </m:oMath>
      <w:r>
        <w:rPr/>
        <w:t xml:space="preserve">. We assume our inputs are </w:t>
      </w:r>
      <m:oMath>
        <m:r>
          <m:rPr>
            <m:sty m:val="p"/>
          </m:rPr>
          <m:t>(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)</m:t>
        </m:r>
      </m:oMath>
      <w:r>
        <w:rPr/>
        <w:t xml:space="preserve">, and we have a truth table giving us </w:t>
      </w:r>
      <m:oMath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1</m:t>
            </m:r>
          </m:sub>
        </m:sSub>
      </m:oMath>
      <w:r>
        <w:rPr/>
        <w:t xml:space="preserve"> for each combination of these inputs.</w:t>
      </w: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rFonts w:eastAsia="Georgia" w:cs="Georgia" w:ascii="Georgia" w:hAnsi="Georgia"/>
          <w:b/>
          <w:sz w:val="42"/>
        </w:rPr>
        <w:t xml:space="preserve">1. Set Up the K‐Map</w:t>
      </w:r>
    </w:p>
    <w:p>
      <w:pPr>
        <w:numPr>
          <w:ilvl w:val="0"/>
          <w:numId w:val="1"/>
        </w:numPr>
        <w:spacing w:after="240" w:lineRule="auto"/>
      </w:pPr>
      <w:r>
        <w:rPr>
          <w:b/>
        </w:rPr>
        <w:t xml:space="preserve">Determine K‐map size</w:t>
      </w:r>
      <w:r>
        <w:rPr/>
        <w:t xml:space="preserve">:</w:t>
      </w:r>
    </w:p>
    <w:p>
      <w:pPr>
        <w:numPr>
          <w:ilvl w:val="1"/>
          <w:numId w:val="1"/>
        </w:numPr>
        <w:spacing w:lineRule="auto"/>
      </w:pPr>
      <w:r>
        <w:rPr>
          <w:rFonts w:eastAsia="Georgia" w:cs="Georgia" w:ascii="Georgia" w:hAnsi="Georgia"/>
        </w:rPr>
        <w:t xml:space="preserve">With three inputs, the K‐map has </w:t>
      </w:r>
      <m:oMath>
        <m:sSup>
          <m:sSupPr/>
          <m:e>
            <m:r>
              <m:rPr>
                <m:sty m:val="p"/>
              </m:rPr>
              <m:t>2</m:t>
            </m:r>
          </m:e>
          <m:sup>
            <m:r>
              <m:rPr>
                <m:sty m:val="p"/>
              </m:rP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8</m:t>
        </m:r>
      </m:oMath>
      <w:r>
        <w:rPr/>
        <w:t xml:space="preserve"> cells.</w:t>
      </w:r>
    </w:p>
    <w:p>
      <w:pPr>
        <w:numPr>
          <w:ilvl w:val="0"/>
          <w:numId w:val="1"/>
        </w:numPr>
        <w:spacing w:after="240" w:lineRule="auto"/>
      </w:pPr>
      <w:r>
        <w:rPr>
          <w:b/>
        </w:rPr>
        <w:t xml:space="preserve">Label the rows and columns</w:t>
      </w:r>
      <w:r>
        <w:rPr/>
        <w:t xml:space="preserve">:</w:t>
      </w:r>
    </w:p>
    <w:p>
      <w:pPr>
        <w:numPr>
          <w:ilvl w:val="1"/>
          <w:numId w:val="1"/>
        </w:numPr>
        <w:spacing w:lineRule="auto"/>
      </w:pPr>
      <w:r>
        <w:rPr/>
        <w:t xml:space="preserve">Put </w:t>
      </w:r>
      <m:oMath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2</m:t>
            </m:r>
          </m:sub>
        </m:sSub>
      </m:oMath>
      <w:r>
        <w:rPr/>
        <w:t xml:space="preserve"> on the rows (top row for </w:t>
      </w:r>
      <m:oMath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0</m:t>
        </m:r>
      </m:oMath>
      <w:r>
        <w:rPr/>
        <w:t xml:space="preserve">, bottom row for </w:t>
      </w:r>
      <m:oMath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1</m:t>
        </m:r>
      </m:oMath>
      <w:r>
        <w:rPr/>
        <w:t xml:space="preserve">).</w:t>
      </w:r>
    </w:p>
    <w:p>
      <w:pPr>
        <w:numPr>
          <w:ilvl w:val="1"/>
          <w:numId w:val="1"/>
        </w:numPr>
        <w:spacing w:lineRule="auto"/>
      </w:pPr>
      <w:r>
        <w:rPr/>
        <w:t xml:space="preserve">Use </w:t>
      </w:r>
      <w:r>
        <w:rPr>
          <w:b/>
        </w:rPr>
        <w:t xml:space="preserve">Gray code</w:t>
      </w:r>
      <w:r>
        <w:rPr/>
        <w:t xml:space="preserve"> for the columns with </w:t>
      </w:r>
      <m:oMath>
        <m:r>
          <m:rPr>
            <m:sty m:val="p"/>
          </m:rPr>
          <m:t>(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)</m:t>
        </m:r>
      </m:oMath>
      <w:r>
        <w:rPr/>
        <w:t xml:space="preserve"> in the order </w:t>
      </w:r>
      <w:r>
        <w:rPr>
          <w:rStyle w:val="VerbatimChar"/>
          <w:shd w:val="clear" w:color="auto" w:fill="F8F8FA"/>
        </w:rPr>
        <w:t xml:space="preserve">00</w:t>
      </w:r>
      <w:r>
        <w:rPr/>
        <w:t xml:space="preserve">, </w:t>
      </w:r>
      <w:r>
        <w:rPr>
          <w:rStyle w:val="VerbatimChar"/>
          <w:shd w:val="clear" w:color="auto" w:fill="F8F8FA"/>
        </w:rPr>
        <w:t xml:space="preserve">01</w:t>
      </w:r>
      <w:r>
        <w:rPr/>
        <w:t xml:space="preserve">, </w:t>
      </w:r>
      <w:r>
        <w:rPr>
          <w:rStyle w:val="VerbatimChar"/>
          <w:shd w:val="clear" w:color="auto" w:fill="F8F8FA"/>
        </w:rPr>
        <w:t xml:space="preserve">11</w:t>
      </w:r>
      <w:r>
        <w:rPr/>
        <w:t xml:space="preserve">, </w:t>
      </w:r>
      <w:r>
        <w:rPr>
          <w:rStyle w:val="VerbatimChar"/>
          <w:shd w:val="clear" w:color="auto" w:fill="F8F8FA"/>
        </w:rPr>
        <w:t xml:space="preserve">10</w:t>
      </w:r>
      <w:r>
        <w:rPr/>
        <w:t xml:space="preserve">.</w:t>
      </w:r>
    </w:p>
    <w:p>
      <w:pPr>
        <w:spacing w:after="240" w:lineRule="auto"/>
      </w:pPr>
      <w:r>
        <w:rPr>
          <w:rFonts w:eastAsia="Georgia" w:cs="Georgia" w:ascii="Georgia" w:hAnsi="Georgia"/>
        </w:rPr>
        <w:t xml:space="preserve">Your blank K‐map will look like this:</w:t>
      </w:r>
    </w:p>
    <w:tbl>
      <w:tblPr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1728"/>
        <w:gridCol w:w="1728"/>
        <w:gridCol w:w="1728"/>
        <w:gridCol w:w="1728"/>
        <w:gridCol w:w="1728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(X1X0) 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10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X2 = 0</w:t>
            </w:r>
          </w:p>
        </w:tc>
        <w:tc>
          <w:tcPr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/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X2 = 1</w:t>
            </w:r>
          </w:p>
        </w:tc>
        <w:tc>
          <w:tcPr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/>
        </w:tc>
      </w:tr>
    </w:tbl>
    <w:p>
      <w:pPr>
        <w:spacing w:lineRule="auto"/>
      </w:pP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rFonts w:eastAsia="Georgia" w:cs="Georgia" w:ascii="Georgia" w:hAnsi="Georgia"/>
          <w:b/>
          <w:sz w:val="42"/>
        </w:rPr>
        <w:t xml:space="preserve">2. Fill the K‐Map Using the Truth Table</w:t>
      </w:r>
    </w:p>
    <w:p>
      <w:pPr>
        <w:numPr>
          <w:ilvl w:val="0"/>
          <w:numId w:val="2"/>
        </w:numPr>
        <w:spacing w:after="240" w:lineRule="auto"/>
      </w:pPr>
      <w:r>
        <w:rPr>
          <w:b/>
        </w:rPr>
        <w:t xml:space="preserve">Go row by row</w:t>
      </w:r>
      <w:r>
        <w:rPr/>
        <w:t xml:space="preserve"> through your truth table for </w:t>
      </w:r>
      <m:oMath>
        <m:r>
          <m:rPr>
            <m:sty m:val="p"/>
          </m:rPr>
          <m:t>(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)</m:t>
        </m:r>
      </m:oMath>
      <w:r>
        <w:rPr/>
        <w:t xml:space="preserve">.</w:t>
      </w:r>
    </w:p>
    <w:p>
      <w:pPr>
        <w:numPr>
          <w:ilvl w:val="0"/>
          <w:numId w:val="2"/>
        </w:numPr>
        <w:spacing w:after="240" w:lineRule="auto"/>
      </w:pPr>
      <w:r>
        <w:rPr>
          <w:b/>
        </w:rPr>
        <w:t xml:space="preserve">Check </w:t>
      </w:r>
      <m:oMath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1</m:t>
            </m:r>
          </m:sub>
        </m:sSub>
      </m:oMath>
      <w:r>
        <w:rPr/>
        <w:t xml:space="preserve"> for each row:</w:t>
      </w:r>
    </w:p>
    <w:p>
      <w:pPr>
        <w:numPr>
          <w:ilvl w:val="1"/>
          <w:numId w:val="2"/>
        </w:numPr>
        <w:spacing w:lineRule="auto"/>
      </w:pPr>
      <w:r>
        <w:rPr/>
        <w:t xml:space="preserve">If </w:t>
      </w:r>
      <m:oMath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1</m:t>
        </m:r>
      </m:oMath>
      <w:r>
        <w:rPr/>
        <w:t xml:space="preserve">, place a </w:t>
      </w:r>
      <w:r>
        <w:rPr>
          <w:rStyle w:val="VerbatimChar"/>
          <w:shd w:val="clear" w:color="auto" w:fill="F8F8FA"/>
        </w:rPr>
        <w:t xml:space="preserve">1</w:t>
      </w:r>
      <w:r>
        <w:rPr>
          <w:rFonts w:eastAsia="Georgia" w:cs="Georgia" w:ascii="Georgia" w:hAnsi="Georgia"/>
        </w:rPr>
        <w:t xml:space="preserve"> in the K‐map cell that matches </w:t>
      </w:r>
      <m:oMath>
        <m:r>
          <m:rPr>
            <m:sty m:val="p"/>
          </m:rPr>
          <m:t>(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)</m:t>
        </m:r>
      </m:oMath>
      <w:r>
        <w:rPr/>
        <w:t xml:space="preserve">.</w:t>
      </w:r>
    </w:p>
    <w:p>
      <w:pPr>
        <w:numPr>
          <w:ilvl w:val="1"/>
          <w:numId w:val="2"/>
        </w:numPr>
        <w:spacing w:lineRule="auto"/>
      </w:pPr>
      <w:r>
        <w:rPr/>
        <w:t xml:space="preserve">If </w:t>
      </w:r>
      <m:oMath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0</m:t>
        </m:r>
      </m:oMath>
      <w:r>
        <w:rPr/>
        <w:t xml:space="preserve">, place a </w:t>
      </w:r>
      <w:r>
        <w:rPr>
          <w:rStyle w:val="VerbatimChar"/>
          <w:shd w:val="clear" w:color="auto" w:fill="F8F8FA"/>
        </w:rPr>
        <w:t xml:space="preserve">0</w:t>
      </w:r>
      <w:r>
        <w:rPr/>
        <w:t xml:space="preserve">.</w:t>
      </w:r>
    </w:p>
    <w:p>
      <w:pPr>
        <w:numPr>
          <w:ilvl w:val="0"/>
          <w:numId w:val="2"/>
        </w:numPr>
        <w:spacing w:after="240" w:lineRule="auto"/>
      </w:pPr>
      <w:r>
        <w:rPr>
          <w:b/>
        </w:rPr>
        <w:t xml:space="preserve">Repeat until all 8 cells</w:t>
      </w:r>
      <w:r>
        <w:rPr/>
        <w:t xml:space="preserve"> are filled.</w:t>
      </w:r>
    </w:p>
    <w:p>
      <w:pPr>
        <w:spacing w:after="240" w:lineRule="auto"/>
        <w:ind w:left="990"/>
      </w:pPr>
      <w:r>
        <w:rPr>
          <w:b/>
          <w:color w:val="666666"/>
        </w:rPr>
        <w:t xml:space="preserve">Tip</w:t>
      </w:r>
      <w:r>
        <w:rPr>
          <w:rFonts w:eastAsia="Georgia" w:cs="Georgia" w:ascii="Georgia" w:hAnsi="Georgia"/>
          <w:color w:val="666666"/>
        </w:rPr>
        <w:t xml:space="preserve">: Each row in the truth table tells you exactly one cell in the K‐map to fill. The row where </w:t>
      </w:r>
      <m:oMath>
        <m:r>
          <m:rPr>
            <m:sty m:val="p"/>
          </m:rPr>
          <w:rPr>
            <w:color w:val="666666"/>
          </w:rPr>
          <m:t>(</m:t>
        </m:r>
        <m:sSub>
          <m:sSubPr>
            <m:ctrlPr>
              <w:rPr>
                <w:rFonts w:ascii="Cambria Math" w:hAnsi="Cambria Math"/>
                <w:color w:val="666666"/>
              </w:rPr>
            </m:ctrlPr>
          </m:sSubPr>
          <m:e>
            <m:r>
              <m:rPr>
                <m:sty m:val="i"/>
              </m:rPr>
              <w:rPr>
                <w:color w:val="666666"/>
              </w:rPr>
              <m:t>X</m:t>
            </m:r>
          </m:e>
          <m:sub>
            <m:r>
              <m:rPr>
                <m:sty m:val="p"/>
              </m:rPr>
              <w:rPr>
                <w:color w:val="666666"/>
              </w:rPr>
              <m:t>2</m:t>
            </m:r>
          </m:sub>
        </m:sSub>
        <m:r>
          <m:rPr>
            <m:sty m:val="p"/>
          </m:rPr>
          <w:rPr>
            <w:color w:val="666666"/>
          </w:rPr>
          <m:t>,</m:t>
        </m:r>
        <m:sSub>
          <m:sSubPr>
            <m:ctrlPr>
              <w:rPr>
                <w:rFonts w:ascii="Cambria Math" w:hAnsi="Cambria Math"/>
                <w:color w:val="666666"/>
              </w:rPr>
            </m:ctrlPr>
          </m:sSubPr>
          <m:e>
            <m:r>
              <m:rPr>
                <m:sty m:val="i"/>
              </m:rPr>
              <w:rPr>
                <w:color w:val="666666"/>
              </w:rPr>
              <m:t>X</m:t>
            </m:r>
          </m:e>
          <m:sub>
            <m:r>
              <m:rPr>
                <m:sty m:val="p"/>
              </m:rPr>
              <w:rPr>
                <w:color w:val="666666"/>
              </w:rPr>
              <m:t>1</m:t>
            </m:r>
          </m:sub>
        </m:sSub>
        <m:r>
          <m:rPr>
            <m:sty m:val="p"/>
          </m:rPr>
          <w:rPr>
            <w:color w:val="666666"/>
          </w:rPr>
          <m:t>,</m:t>
        </m:r>
        <m:sSub>
          <m:sSubPr>
            <m:ctrlPr>
              <w:rPr>
                <w:rFonts w:ascii="Cambria Math" w:hAnsi="Cambria Math"/>
                <w:color w:val="666666"/>
              </w:rPr>
            </m:ctrlPr>
          </m:sSubPr>
          <m:e>
            <m:r>
              <m:rPr>
                <m:sty m:val="i"/>
              </m:rPr>
              <w:rPr>
                <w:color w:val="666666"/>
              </w:rPr>
              <m:t>X</m:t>
            </m:r>
          </m:e>
          <m:sub>
            <m:r>
              <m:rPr>
                <m:sty m:val="p"/>
              </m:rPr>
              <w:rPr>
                <w:color w:val="666666"/>
              </w:rPr>
              <m:t>0</m:t>
            </m:r>
          </m:sub>
        </m:sSub>
        <m:r>
          <m:rPr>
            <m:sty m:val="p"/>
          </m:rPr>
          <w:rPr>
            <w:color w:val="666666"/>
          </w:rPr>
          <m:t>)</m:t>
        </m:r>
        <m:r>
          <m:rPr>
            <m:sty m:val="p"/>
          </m:rPr>
          <w:rPr>
            <w:color w:val="666666"/>
          </w:rPr>
          <m:t>=</m:t>
        </m:r>
        <m:r>
          <m:rPr>
            <m:sty m:val="p"/>
          </m:rPr>
          <w:rPr>
            <w:color w:val="666666"/>
          </w:rPr>
          <m:t>(</m:t>
        </m:r>
        <m:r>
          <m:rPr>
            <m:sty m:val="p"/>
          </m:rPr>
          <w:rPr>
            <w:color w:val="666666"/>
          </w:rPr>
          <m:t>0</m:t>
        </m:r>
        <m:r>
          <m:rPr>
            <m:sty m:val="p"/>
          </m:rPr>
          <w:rPr>
            <w:color w:val="666666"/>
          </w:rPr>
          <m:t>,</m:t>
        </m:r>
        <m:r>
          <m:rPr>
            <m:sty m:val="p"/>
          </m:rPr>
          <w:rPr>
            <w:color w:val="666666"/>
          </w:rPr>
          <m:t>0</m:t>
        </m:r>
        <m:r>
          <m:rPr>
            <m:sty m:val="p"/>
          </m:rPr>
          <w:rPr>
            <w:color w:val="666666"/>
          </w:rPr>
          <m:t>,</m:t>
        </m:r>
        <m:r>
          <m:rPr>
            <m:sty m:val="p"/>
          </m:rPr>
          <w:rPr>
            <w:color w:val="666666"/>
          </w:rPr>
          <m:t>0</m:t>
        </m:r>
        <m:r>
          <m:rPr>
            <m:sty m:val="p"/>
          </m:rPr>
          <w:rPr>
            <w:color w:val="666666"/>
          </w:rPr>
          <m:t>)</m:t>
        </m:r>
      </m:oMath>
      <w:r>
        <w:rPr>
          <w:rFonts w:eastAsia="Georgia" w:cs="Georgia" w:ascii="Georgia" w:hAnsi="Georgia"/>
          <w:color w:val="666666"/>
        </w:rPr>
        <w:t xml:space="preserve"> goes in the top‐left cell (</w:t>
      </w:r>
      <m:oMath>
        <m:sSub>
          <m:sSubPr>
            <m:ctrlPr>
              <w:rPr>
                <w:rFonts w:ascii="Cambria Math" w:hAnsi="Cambria Math"/>
                <w:color w:val="666666"/>
              </w:rPr>
            </m:ctrlPr>
          </m:sSubPr>
          <m:e>
            <m:r>
              <m:rPr>
                <m:sty m:val="i"/>
              </m:rPr>
              <w:rPr>
                <w:color w:val="666666"/>
              </w:rPr>
              <m:t>X</m:t>
            </m:r>
          </m:e>
          <m:sub>
            <m:r>
              <m:rPr>
                <m:sty m:val="p"/>
              </m:rPr>
              <w:rPr>
                <w:color w:val="666666"/>
              </w:rPr>
              <m:t>2</m:t>
            </m:r>
          </m:sub>
        </m:sSub>
        <m:r>
          <m:rPr>
            <m:sty m:val="p"/>
          </m:rPr>
          <w:rPr>
            <w:color w:val="666666"/>
          </w:rPr>
          <m:t>=</m:t>
        </m:r>
        <m:r>
          <m:rPr>
            <m:sty m:val="p"/>
          </m:rPr>
          <w:rPr>
            <w:color w:val="666666"/>
          </w:rPr>
          <m:t>0</m:t>
        </m:r>
      </m:oMath>
      <w:r>
        <w:rPr>
          <w:color w:val="666666"/>
        </w:rPr>
        <w:t xml:space="preserve">, </w:t>
      </w:r>
      <m:oMath>
        <m:sSub>
          <m:sSubPr>
            <m:ctrlPr>
              <w:rPr>
                <w:rFonts w:ascii="Cambria Math" w:hAnsi="Cambria Math"/>
                <w:color w:val="666666"/>
              </w:rPr>
            </m:ctrlPr>
          </m:sSubPr>
          <m:e>
            <m:r>
              <m:rPr>
                <m:sty m:val="i"/>
              </m:rPr>
              <w:rPr>
                <w:color w:val="666666"/>
              </w:rPr>
              <m:t>X</m:t>
            </m:r>
          </m:e>
          <m:sub>
            <m:r>
              <m:rPr>
                <m:sty m:val="p"/>
              </m:rPr>
              <w:rPr>
                <w:color w:val="66666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color w:val="666666"/>
              </w:rPr>
            </m:ctrlPr>
          </m:sSubPr>
          <m:e>
            <m:r>
              <m:rPr>
                <m:sty m:val="i"/>
              </m:rPr>
              <w:rPr>
                <w:color w:val="666666"/>
              </w:rPr>
              <m:t>X</m:t>
            </m:r>
          </m:e>
          <m:sub>
            <m:r>
              <m:rPr>
                <m:sty m:val="p"/>
              </m:rPr>
              <w:rPr>
                <w:color w:val="666666"/>
              </w:rPr>
              <m:t>0</m:t>
            </m:r>
          </m:sub>
        </m:sSub>
        <m:r>
          <m:rPr>
            <m:sty m:val="p"/>
          </m:rPr>
          <w:rPr>
            <w:color w:val="666666"/>
          </w:rPr>
          <m:t>=</m:t>
        </m:r>
        <m:r>
          <m:rPr>
            <m:sty m:val="p"/>
          </m:rPr>
          <w:rPr>
            <w:color w:val="666666"/>
          </w:rPr>
          <m:t>00</m:t>
        </m:r>
      </m:oMath>
      <w:r>
        <w:rPr>
          <w:color w:val="666666"/>
        </w:rPr>
        <w:t xml:space="preserve">), etc.</w:t>
      </w: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rFonts w:eastAsia="Georgia" w:cs="Georgia" w:ascii="Georgia" w:hAnsi="Georgia"/>
          <w:b/>
          <w:sz w:val="42"/>
        </w:rPr>
        <w:t xml:space="preserve">3. Identify Groups of 1’s</w:t>
      </w:r>
    </w:p>
    <w:p>
      <w:pPr>
        <w:spacing w:after="240" w:lineRule="auto"/>
      </w:pPr>
      <w:r>
        <w:rPr>
          <w:rFonts w:eastAsia="Georgia" w:cs="Georgia" w:ascii="Georgia" w:hAnsi="Georgia"/>
        </w:rPr>
        <w:t xml:space="preserve">Once you’ve placed all the 1s and 0s: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Look for adjacent 1‐cells</w:t>
      </w:r>
      <w:r>
        <w:rPr>
          <w:rFonts w:eastAsia="Georgia" w:cs="Georgia" w:ascii="Georgia" w:hAnsi="Georgia"/>
        </w:rPr>
        <w:t xml:space="preserve">—in powers of two (1, 2, 4, 8). Cells are considered adjacent if they differ by only </w:t>
      </w:r>
      <w:r>
        <w:rPr>
          <w:b/>
        </w:rPr>
        <w:t xml:space="preserve">one</w:t>
      </w:r>
      <w:r>
        <w:rPr/>
        <w:t xml:space="preserve"> input bit.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Circle (or group) those 1s</w:t>
      </w:r>
      <w:r>
        <w:rPr/>
        <w:t xml:space="preserve">. Larger groups mean simpler terms.</w:t>
      </w:r>
    </w:p>
    <w:p>
      <w:pPr>
        <w:spacing w:after="240" w:lineRule="auto"/>
      </w:pPr>
      <w:r>
        <w:rPr/>
        <w:t xml:space="preserve">Common group sizes:</w:t>
      </w:r>
    </w:p>
    <w:p>
      <w:pPr>
        <w:numPr>
          <w:ilvl w:val="0"/>
          <w:numId w:val="4"/>
        </w:numPr>
        <w:spacing w:lineRule="auto"/>
      </w:pPr>
      <w:r>
        <w:rPr/>
        <w:t xml:space="preserve">Pairs (2 cells)</w:t>
      </w:r>
    </w:p>
    <w:p>
      <w:pPr>
        <w:numPr>
          <w:ilvl w:val="0"/>
          <w:numId w:val="4"/>
        </w:numPr>
        <w:spacing w:lineRule="auto"/>
      </w:pPr>
      <w:r>
        <w:rPr/>
        <w:t xml:space="preserve">Quads (4 cells)</w:t>
      </w:r>
    </w:p>
    <w:p>
      <w:pPr>
        <w:numPr>
          <w:ilvl w:val="0"/>
          <w:numId w:val="4"/>
        </w:numPr>
        <w:spacing w:lineRule="auto"/>
      </w:pPr>
      <w:r>
        <w:rPr/>
        <w:t xml:space="preserve">Octets (8 cells, if everything is 1)</w:t>
      </w: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b/>
          <w:sz w:val="42"/>
        </w:rPr>
        <w:t xml:space="preserve">4. Extract the Simplified Expression</w:t>
      </w:r>
    </w:p>
    <w:p>
      <w:pPr>
        <w:spacing w:after="240" w:lineRule="auto"/>
      </w:pPr>
      <w:r>
        <w:rPr/>
        <w:t xml:space="preserve">For each group:</w:t>
      </w:r>
    </w:p>
    <w:p>
      <w:pPr>
        <w:numPr>
          <w:ilvl w:val="0"/>
          <w:numId w:val="5"/>
        </w:numPr>
        <w:spacing w:lineRule="auto"/>
      </w:pPr>
      <w:r>
        <w:rPr>
          <w:b/>
        </w:rPr>
        <w:t xml:space="preserve">Determine which inputs are constant</w:t>
      </w:r>
      <w:r>
        <w:rPr/>
        <w:t xml:space="preserve"> across that group (i.e., which input bits do </w:t>
      </w:r>
      <w:r>
        <w:rPr>
          <w:i/>
        </w:rPr>
        <w:t xml:space="preserve">not</w:t>
      </w:r>
      <w:r>
        <w:rPr/>
        <w:t xml:space="preserve"> change).</w:t>
      </w:r>
    </w:p>
    <w:p>
      <w:pPr>
        <w:numPr>
          <w:ilvl w:val="0"/>
          <w:numId w:val="5"/>
        </w:numPr>
        <w:spacing w:lineRule="auto"/>
      </w:pPr>
      <w:r>
        <w:rPr>
          <w:b/>
        </w:rPr>
        <w:t xml:space="preserve">Form the product term</w:t>
      </w:r>
      <w:r>
        <w:rPr/>
        <w:t xml:space="preserve"> (AND) with those constant bits, using the original or complemented form (e.g., </w:t>
      </w:r>
      <m:oMath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</m:oMath>
      <w:r>
        <w:rPr/>
        <w:t xml:space="preserve"> or </w:t>
      </w:r>
      <m:oMath>
        <m:bar>
          <m:barPr>
            <m:pos m:val="top"/>
          </m:barPr>
          <m:e>
            <m:sSub>
              <m:sSubPr/>
              <m:e>
                <m:r>
                  <m:rPr>
                    <m:sty m:val="i"/>
                  </m:rPr>
                  <m:t>X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</m:e>
        </m:bar>
      </m:oMath>
      <w:r>
        <w:rPr/>
        <w:t xml:space="preserve">) as required.</w:t>
      </w:r>
    </w:p>
    <w:p>
      <w:pPr>
        <w:numPr>
          <w:ilvl w:val="0"/>
          <w:numId w:val="5"/>
        </w:numPr>
        <w:spacing w:lineRule="auto"/>
      </w:pPr>
      <w:r>
        <w:rPr>
          <w:b/>
        </w:rPr>
        <w:t xml:space="preserve">Sum</w:t>
      </w:r>
      <w:r>
        <w:rPr/>
        <w:t xml:space="preserve"> (OR) all the product terms if you have multiple groups.</w:t>
      </w:r>
    </w:p>
    <w:p>
      <w:pPr>
        <w:spacing w:after="240" w:lineRule="auto"/>
      </w:pPr>
      <w:r>
        <w:rPr/>
        <w:t xml:space="preserve">That final sum of products gives you the simplified Boolean expression for </w:t>
      </w:r>
      <m:oMath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1</m:t>
            </m:r>
          </m:sub>
        </m:sSub>
      </m:oMath>
      <w:r>
        <w:rPr/>
        <w:t xml:space="preserve">.</w:t>
      </w:r>
    </w:p>
    <w:p>
      <w:pPr>
        <w:spacing w:after="240" w:lineRule="auto"/>
        <w:ind w:left="990"/>
      </w:pPr>
      <w:r>
        <w:rPr>
          <w:color w:val="666666"/>
        </w:rPr>
        <w:t xml:space="preserve">For example, if </w:t>
      </w:r>
      <w:r>
        <w:rPr>
          <w:i/>
          <w:color w:val="666666"/>
        </w:rPr>
        <w:t xml:space="preserve">all</w:t>
      </w:r>
      <w:r>
        <w:rPr>
          <w:rFonts w:eastAsia="Georgia" w:cs="Georgia" w:ascii="Georgia" w:hAnsi="Georgia"/>
          <w:color w:val="666666"/>
        </w:rPr>
        <w:t xml:space="preserve"> the 1s in the K‐map appear only in columns where </w:t>
      </w:r>
      <m:oMath>
        <m:sSub>
          <m:sSubPr>
            <m:ctrlPr>
              <w:rPr>
                <w:rFonts w:ascii="Cambria Math" w:hAnsi="Cambria Math"/>
                <w:color w:val="666666"/>
              </w:rPr>
            </m:ctrlPr>
          </m:sSubPr>
          <m:e>
            <m:r>
              <m:rPr>
                <m:sty m:val="i"/>
              </m:rPr>
              <w:rPr>
                <w:color w:val="666666"/>
              </w:rPr>
              <m:t>X</m:t>
            </m:r>
          </m:e>
          <m:sub>
            <m:r>
              <m:rPr>
                <m:sty m:val="p"/>
              </m:rPr>
              <w:rPr>
                <w:color w:val="666666"/>
              </w:rPr>
              <m:t>1</m:t>
            </m:r>
          </m:sub>
        </m:sSub>
        <m:r>
          <m:rPr>
            <m:sty m:val="p"/>
          </m:rPr>
          <w:rPr>
            <w:color w:val="666666"/>
          </w:rPr>
          <m:t>=</m:t>
        </m:r>
        <m:r>
          <m:rPr>
            <m:sty m:val="p"/>
          </m:rPr>
          <w:rPr>
            <w:color w:val="666666"/>
          </w:rPr>
          <m:t>0</m:t>
        </m:r>
      </m:oMath>
      <w:r>
        <w:rPr>
          <w:color w:val="666666"/>
        </w:rPr>
        <w:t xml:space="preserve">, then </w:t>
      </w:r>
      <m:oMath>
        <m:sSub>
          <m:sSubPr>
            <m:ctrlPr>
              <w:rPr>
                <w:rFonts w:ascii="Cambria Math" w:hAnsi="Cambria Math"/>
                <w:color w:val="666666"/>
              </w:rPr>
            </m:ctrlPr>
          </m:sSubPr>
          <m:e>
            <m:r>
              <m:rPr>
                <m:sty m:val="i"/>
              </m:rPr>
              <w:rPr>
                <w:color w:val="666666"/>
              </w:rPr>
              <m:t>X</m:t>
            </m:r>
          </m:e>
          <m:sub>
            <m:r>
              <m:rPr>
                <m:sty m:val="p"/>
              </m:rPr>
              <w:rPr>
                <w:color w:val="666666"/>
              </w:rPr>
              <m:t>1</m:t>
            </m:r>
          </m:sub>
        </m:sSub>
      </m:oMath>
      <w:r>
        <w:rPr>
          <w:color w:val="666666"/>
        </w:rPr>
        <w:t xml:space="preserve"> must be complemented in the expression, leading to </w:t>
      </w:r>
      <m:oMath>
        <m:sSub>
          <m:sSubPr>
            <m:ctrlPr>
              <w:rPr>
                <w:rFonts w:ascii="Cambria Math" w:hAnsi="Cambria Math"/>
                <w:color w:val="666666"/>
              </w:rPr>
            </m:ctrlPr>
          </m:sSubPr>
          <m:e>
            <m:r>
              <m:rPr>
                <m:sty m:val="i"/>
              </m:rPr>
              <w:rPr>
                <w:color w:val="666666"/>
              </w:rPr>
              <m:t>Y</m:t>
            </m:r>
          </m:e>
          <m:sub>
            <m:r>
              <m:rPr>
                <m:sty m:val="p"/>
              </m:rPr>
              <w:rPr>
                <w:color w:val="666666"/>
              </w:rPr>
              <m:t>1</m:t>
            </m:r>
          </m:sub>
        </m:sSub>
        <m:r>
          <m:rPr>
            <m:sty m:val="p"/>
          </m:rPr>
          <w:rPr>
            <w:color w:val="666666"/>
          </w:rPr>
          <m:t>=</m:t>
        </m:r>
        <m:bar>
          <m:barPr>
            <m:pos m:val="top"/>
          </m:barPr>
          <m:e>
            <m:sSub>
              <m:sSubPr>
                <m:ctrlPr>
                  <w:rPr>
                    <w:rFonts w:ascii="Cambria Math" w:hAnsi="Cambria Math"/>
                    <w:color w:val="666666"/>
                  </w:rPr>
                </m:ctrlPr>
              </m:sSubPr>
              <m:e>
                <m:r>
                  <m:rPr>
                    <m:sty m:val="i"/>
                  </m:rPr>
                  <w:rPr>
                    <w:color w:val="66666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color w:val="666666"/>
                  </w:rPr>
                  <m:t>1</m:t>
                </m:r>
              </m:sub>
            </m:sSub>
          </m:e>
        </m:bar>
      </m:oMath>
      <w:r>
        <w:rPr>
          <w:color w:val="666666"/>
        </w:rPr>
        <w:t xml:space="preserve">.</w:t>
      </w: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b/>
          <w:sz w:val="42"/>
        </w:rPr>
        <w:t xml:space="preserve">Example Outcome</w:t>
      </w:r>
    </w:p>
    <w:p>
      <w:pPr>
        <w:spacing w:after="240" w:lineRule="auto"/>
      </w:pPr>
      <w:r>
        <w:rPr>
          <w:rFonts w:eastAsia="Georgia" w:cs="Georgia" w:ascii="Georgia" w:hAnsi="Georgia"/>
        </w:rPr>
        <w:t xml:space="preserve">Often, you’ll discover that </w:t>
      </w:r>
      <m:oMath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1</m:t>
            </m:r>
          </m:sub>
        </m:sSub>
      </m:oMath>
      <w:r>
        <w:rPr/>
        <w:t xml:space="preserve"> depends on fewer variables than the full set </w:t>
      </w:r>
      <m:oMath>
        <m:r>
          <m:rPr>
            <m:sty m:val="p"/>
          </m:rPr>
          <m:t>(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)</m:t>
        </m:r>
      </m:oMath>
      <w:r>
        <w:rPr>
          <w:rFonts w:eastAsia="Georgia" w:cs="Georgia" w:ascii="Georgia" w:hAnsi="Georgia"/>
        </w:rPr>
        <w:t xml:space="preserve">. In many seven‐segment or decoder circuits, it might turn out that</w:t>
      </w:r>
    </w:p>
    <w:p>
      <w:pPr>
        <w:spacing w:after="240" w:lineRule="auto"/>
      </w:pPr>
      <m:oMathPara>
        <m:oMath>
          <m:sSub>
            <m:sSubPr/>
            <m:e>
              <m:r>
                <m:rPr>
                  <m:sty m:val="i"/>
                </m:rPr>
                <m:t>Y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=</m:t>
          </m:r>
          <m:bar>
            <m:barPr>
              <m:pos m:val="top"/>
            </m:barPr>
            <m:e>
              <m:sSub>
                <m:sSubPr/>
                <m:e>
                  <m:r>
                    <m:rPr>
                      <m:sty m:val="i"/>
                    </m:rPr>
                    <m:t>X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</m:e>
          </m:bar>
          <m:r>
            <m:rPr>
              <m:sty m:val="p"/>
            </m:rPr>
            <m:t xml:space="preserve"> </m:t>
          </m:r>
          <m:r>
            <m:rPr>
              <m:nor/>
            </m:rPr>
            <m:t>(just an example)</m:t>
          </m:r>
          <m:r>
            <m:rPr>
              <m:sty m:val="p"/>
            </m:rPr>
            <m:t>,</m:t>
          </m:r>
        </m:oMath>
      </m:oMathPara>
    </w:p>
    <w:p>
      <w:pPr>
        <w:spacing w:after="240" w:lineRule="auto"/>
      </w:pPr>
      <w:r>
        <w:rPr/>
        <w:t xml:space="preserve">meaning that </w:t>
      </w:r>
      <m:oMath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1</m:t>
            </m:r>
          </m:sub>
        </m:sSub>
      </m:oMath>
      <w:r>
        <w:rPr>
          <w:rFonts w:eastAsia="Georgia" w:cs="Georgia" w:ascii="Georgia" w:hAnsi="Georgia"/>
        </w:rPr>
        <w:t xml:space="preserve"> is “1” whenever </w:t>
      </w:r>
      <m:oMath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</m:oMath>
      <w:r>
        <w:rPr>
          <w:rFonts w:eastAsia="Georgia" w:cs="Georgia" w:ascii="Georgia" w:hAnsi="Georgia"/>
        </w:rPr>
        <w:t xml:space="preserve"> is “0,” regardless of </w:t>
      </w:r>
      <m:oMath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2</m:t>
            </m:r>
          </m:sub>
        </m:sSub>
      </m:oMath>
      <w:r>
        <w:rPr/>
        <w:t xml:space="preserve"> or </w:t>
      </w:r>
      <m:oMath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rPr/>
        <w:t xml:space="preserve">.</w:t>
      </w: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after="240" w:lineRule="auto"/>
      </w:pPr>
      <w:r>
        <w:rPr>
          <w:b/>
        </w:rPr>
        <w:t xml:space="preserve">That’s it!</w:t>
      </w:r>
      <w:r>
        <w:rPr>
          <w:rFonts w:eastAsia="Georgia" w:cs="Georgia" w:ascii="Georgia" w:hAnsi="Georgia"/>
        </w:rPr>
        <w:t xml:space="preserve"> By systematically labeling, filling, and grouping your K‐map, you get a straightforward simplification of </w:t>
      </w:r>
      <m:oMath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1</m:t>
            </m:r>
          </m:sub>
        </m:sSub>
      </m:oMath>
      <w:r>
        <w:rPr/>
        <w:t xml:space="preserve">. Once you see this process in action a few times, it becomes much more intuitive for any output column you might want to map.</w:t>
      </w:r>
    </w:p>
    <w:sectPr>
      <w:pgSz w:w="12240" w:h="15840" w:orient="portrait"/>
      <w:pgMar w:top="1440" w:right="1800" w:bottom="1440" w:left="180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2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2025-02-02T10:27:30.297Z</dcterms:created>
  <dcterms:modified xsi:type="dcterms:W3CDTF">2025-02-02T10:27:30.297Z</dcterms:modified>
</cp:coreProperties>
</file>