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156F4544" w14:textId="05CBF9E3" w:rsidR="008E73C9" w:rsidRDefault="008E73C9" w:rsidP="00693802">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p>
    <w:p w14:paraId="60DB5D58" w14:textId="129E8C68" w:rsidR="00211F4F" w:rsidRDefault="003B0977" w:rsidP="003B0977">
      <w:pPr>
        <w:pStyle w:val="Title"/>
      </w:pPr>
      <w:r>
        <w:t>Combat Basics:</w:t>
      </w:r>
    </w:p>
    <w:p w14:paraId="35D493AF" w14:textId="52234491" w:rsidR="003541A4" w:rsidRDefault="00656AE8" w:rsidP="008C186E">
      <w:pPr>
        <w:spacing w:after="80"/>
        <w:jc w:val="both"/>
      </w:pPr>
      <w:r>
        <w:t>The attack action is arguably the most important rule as far as combat goes – if no one is willing to attack anyone else, we’re not really having a fight, are we?</w:t>
      </w:r>
      <w:r w:rsidR="008C186E">
        <w:t xml:space="preserve"> So, what does it look like? Each attack action and attack-like action </w:t>
      </w:r>
      <w:proofErr w:type="gramStart"/>
      <w:r w:rsidR="008C186E">
        <w:t>follows</w:t>
      </w:r>
      <w:proofErr w:type="gramEnd"/>
      <w:r w:rsidR="008C186E">
        <w:t xml:space="preserve"> the same pattern, which is the following:</w:t>
      </w:r>
    </w:p>
    <w:p w14:paraId="2E0A5B66" w14:textId="3DF5466D" w:rsidR="008C186E" w:rsidRDefault="008C186E" w:rsidP="008E1311">
      <w:pPr>
        <w:pStyle w:val="ListParagraph"/>
        <w:numPr>
          <w:ilvl w:val="0"/>
          <w:numId w:val="5"/>
        </w:numPr>
        <w:spacing w:after="80"/>
        <w:ind w:left="426" w:hanging="284"/>
        <w:contextualSpacing w:val="0"/>
        <w:jc w:val="both"/>
      </w:pPr>
      <w:r>
        <w:t>The attacker declares who he’s targeting and with which weapon.</w:t>
      </w:r>
    </w:p>
    <w:p w14:paraId="059B9B0B" w14:textId="2402E508" w:rsidR="008C186E" w:rsidRDefault="008C186E" w:rsidP="008E1311">
      <w:pPr>
        <w:pStyle w:val="ListParagraph"/>
        <w:numPr>
          <w:ilvl w:val="0"/>
          <w:numId w:val="5"/>
        </w:numPr>
        <w:spacing w:after="80"/>
        <w:ind w:left="426" w:hanging="284"/>
        <w:contextualSpacing w:val="0"/>
        <w:jc w:val="both"/>
      </w:pPr>
      <w:r>
        <w:t>He rolls an appropriate Skill Test.</w:t>
      </w:r>
    </w:p>
    <w:p w14:paraId="1E191F2D" w14:textId="2E69E5B8" w:rsidR="008C186E" w:rsidRDefault="008C186E" w:rsidP="008E1311">
      <w:pPr>
        <w:pStyle w:val="ListParagraph"/>
        <w:numPr>
          <w:ilvl w:val="0"/>
          <w:numId w:val="5"/>
        </w:numPr>
        <w:spacing w:after="80"/>
        <w:ind w:left="426" w:hanging="284"/>
        <w:contextualSpacing w:val="0"/>
        <w:jc w:val="both"/>
      </w:pPr>
      <w:r>
        <w:t>The defender rolls for defence (either passive or active).</w:t>
      </w:r>
    </w:p>
    <w:p w14:paraId="2F9E7F1D" w14:textId="4F3C4B26" w:rsidR="008C186E" w:rsidRDefault="008C186E" w:rsidP="008E1311">
      <w:pPr>
        <w:pStyle w:val="ListParagraph"/>
        <w:numPr>
          <w:ilvl w:val="0"/>
          <w:numId w:val="5"/>
        </w:numPr>
        <w:ind w:left="426" w:hanging="284"/>
        <w:jc w:val="both"/>
      </w:pPr>
      <w:r>
        <w:t>If the attack overcomes the defence, the attacker deals damage or inflicts some negative condition (prone, disarmed etc.) to the defender.</w:t>
      </w:r>
    </w:p>
    <w:p w14:paraId="571BC061" w14:textId="5A73AD24" w:rsidR="008C186E" w:rsidRPr="00C633EE" w:rsidRDefault="008C186E" w:rsidP="008C186E">
      <w:pPr>
        <w:jc w:val="both"/>
      </w:pPr>
      <w:r>
        <w:t xml:space="preserve">The variety then comes from the amount of different </w:t>
      </w:r>
      <w:r w:rsidR="007C351B">
        <w:t>attack and defence actions to choose from, and their mutual interactions.</w:t>
      </w:r>
    </w:p>
    <w:p w14:paraId="2DB325A4" w14:textId="232208E4" w:rsidR="00153EBE" w:rsidRDefault="00F865E2" w:rsidP="0038789B">
      <w:pPr>
        <w:pStyle w:val="Title"/>
        <w:rPr>
          <w:szCs w:val="28"/>
        </w:rPr>
      </w:pPr>
      <w:r>
        <w:rPr>
          <w:szCs w:val="28"/>
        </w:rPr>
        <w:br w:type="column"/>
      </w:r>
      <w:r w:rsidR="007513D2">
        <w:rPr>
          <w:szCs w:val="28"/>
        </w:rPr>
        <w:t>Standard Action Options:</w:t>
      </w:r>
    </w:p>
    <w:p w14:paraId="17327C39" w14:textId="525EC308" w:rsidR="00E93B6F" w:rsidRDefault="007513D2" w:rsidP="00E93B6F">
      <w:pPr>
        <w:jc w:val="both"/>
      </w:pPr>
      <w:r>
        <w:t>A list of combat-related standard actions for use in combat.</w:t>
      </w:r>
    </w:p>
    <w:p w14:paraId="186CEC84" w14:textId="6654B5AE" w:rsidR="00C7696F" w:rsidRDefault="00C7696F" w:rsidP="00C7696F">
      <w:pPr>
        <w:pStyle w:val="Subtitle"/>
      </w:pPr>
      <w:r>
        <w:t>Attack:</w:t>
      </w:r>
    </w:p>
    <w:p w14:paraId="0DD2A778" w14:textId="47A915EB" w:rsidR="00C7696F" w:rsidRDefault="00C7696F" w:rsidP="00E93B6F">
      <w:pPr>
        <w:jc w:val="both"/>
      </w:pPr>
      <w:r>
        <w:t>Make a</w:t>
      </w:r>
      <w:r w:rsidR="004D1B5C">
        <w:t xml:space="preserve"> ‘regular’</w:t>
      </w:r>
      <w:r>
        <w:t xml:space="preserve"> attack against an opponent within your line of sight and range</w:t>
      </w:r>
      <w:r w:rsidR="00EB3B5A">
        <w:t>/reach</w:t>
      </w:r>
      <w:r>
        <w:t>.</w:t>
      </w:r>
    </w:p>
    <w:p w14:paraId="549A3302" w14:textId="6BCC3D94" w:rsidR="00EB3B5A" w:rsidRDefault="00EB3B5A" w:rsidP="00E93B6F">
      <w:pPr>
        <w:jc w:val="both"/>
      </w:pPr>
      <w:r>
        <w:t>Depending on the type of weapon used, roll an appropriate Skill Test (Unarmed, Melee, Thrown</w:t>
      </w:r>
      <w:r w:rsidR="003A1CCD">
        <w:t xml:space="preserve"> or</w:t>
      </w:r>
      <w:r>
        <w:t xml:space="preserve"> Marksman) and counts generated successes.</w:t>
      </w:r>
    </w:p>
    <w:p w14:paraId="5C295AAA" w14:textId="0943EC23" w:rsidR="00EB3B5A" w:rsidRDefault="00EB3B5A" w:rsidP="00E93B6F">
      <w:pPr>
        <w:jc w:val="both"/>
      </w:pPr>
      <w:r>
        <w:t>Then, the defender rolls for defence. At this point, they decide whether to use passive defence (weaker), or active defence (stronger, but consumes Action Dice). Either way, they too count generated successes now.</w:t>
      </w:r>
    </w:p>
    <w:p w14:paraId="1FC59678" w14:textId="2FE97530" w:rsidR="00EB3B5A" w:rsidRDefault="00EB3B5A" w:rsidP="00E93B6F">
      <w:pPr>
        <w:jc w:val="both"/>
      </w:pPr>
      <w:r>
        <w:t xml:space="preserve">If the attacker has more successes, the attack hits and deals damage. In case the defender has more successes, </w:t>
      </w:r>
      <w:r w:rsidR="003A1CCD">
        <w:t>they ward off the attack successfully and nothing happens. This is considered an Opposed Test, so in the case of a tie, break it with a fair d6 roll unless someone has an ability which allows them to circumvent this.</w:t>
      </w:r>
    </w:p>
    <w:p w14:paraId="2A4177D3" w14:textId="18B5B5E1" w:rsidR="003A1CCD" w:rsidRDefault="003A1CCD" w:rsidP="003A1CCD">
      <w:pPr>
        <w:pStyle w:val="Heading3"/>
      </w:pPr>
      <w:r>
        <w:t>Dealing Damage (Unarmed, Melee and Thrown):</w:t>
      </w:r>
    </w:p>
    <w:p w14:paraId="63AD87F2" w14:textId="6A13CF02" w:rsidR="00B102FC" w:rsidRDefault="003A1CCD" w:rsidP="00B102FC">
      <w:pPr>
        <w:spacing w:after="80"/>
        <w:jc w:val="both"/>
      </w:pPr>
      <w:r>
        <w:t xml:space="preserve">The base amount of damage dealt for these 3 types of attacks depends on the </w:t>
      </w:r>
      <w:r w:rsidR="00E16A13">
        <w:t>Weight</w:t>
      </w:r>
      <w:r>
        <w:t xml:space="preserve"> of the attack</w:t>
      </w:r>
      <w:r w:rsidR="00B102FC">
        <w:t xml:space="preserve">: </w:t>
      </w:r>
    </w:p>
    <w:p w14:paraId="0E0F3C67" w14:textId="171E0DA8" w:rsidR="003A1CCD" w:rsidRDefault="00B102FC" w:rsidP="008E1311">
      <w:pPr>
        <w:pStyle w:val="ListParagraph"/>
        <w:numPr>
          <w:ilvl w:val="0"/>
          <w:numId w:val="6"/>
        </w:numPr>
        <w:spacing w:after="80"/>
        <w:ind w:left="426" w:hanging="284"/>
        <w:contextualSpacing w:val="0"/>
        <w:jc w:val="both"/>
      </w:pPr>
      <w:r>
        <w:t xml:space="preserve">An attack is </w:t>
      </w:r>
      <w:r w:rsidRPr="00B102FC">
        <w:rPr>
          <w:b/>
        </w:rPr>
        <w:t>Light</w:t>
      </w:r>
      <w:r>
        <w:t xml:space="preserve"> if it’s made with one-handed weapon held with 1 hand;</w:t>
      </w:r>
    </w:p>
    <w:p w14:paraId="411C6B8D" w14:textId="23C65A33" w:rsidR="00B102FC" w:rsidRDefault="00B102FC" w:rsidP="008E1311">
      <w:pPr>
        <w:pStyle w:val="ListParagraph"/>
        <w:numPr>
          <w:ilvl w:val="0"/>
          <w:numId w:val="6"/>
        </w:numPr>
        <w:spacing w:after="80"/>
        <w:ind w:left="426" w:hanging="284"/>
        <w:contextualSpacing w:val="0"/>
        <w:jc w:val="both"/>
      </w:pPr>
      <w:r>
        <w:t xml:space="preserve">It is </w:t>
      </w:r>
      <w:r w:rsidRPr="00B102FC">
        <w:rPr>
          <w:b/>
        </w:rPr>
        <w:t>Medium</w:t>
      </w:r>
      <w:r>
        <w:t xml:space="preserve"> if it’s made with a one-handed weapon held with 2 hands or with a two-handed weapon held in one hand;</w:t>
      </w:r>
    </w:p>
    <w:p w14:paraId="0EE9B338" w14:textId="49DDF0B9" w:rsidR="00B102FC" w:rsidRPr="003A1CCD" w:rsidRDefault="00B102FC" w:rsidP="008E1311">
      <w:pPr>
        <w:pStyle w:val="ListParagraph"/>
        <w:numPr>
          <w:ilvl w:val="0"/>
          <w:numId w:val="6"/>
        </w:numPr>
        <w:ind w:left="426" w:hanging="284"/>
        <w:jc w:val="both"/>
      </w:pPr>
      <w:r>
        <w:t xml:space="preserve">It is </w:t>
      </w:r>
      <w:r w:rsidRPr="00B102FC">
        <w:rPr>
          <w:b/>
        </w:rPr>
        <w:t>Heavy</w:t>
      </w:r>
      <w:r>
        <w:t xml:space="preserve"> if it’s made with a two-handed weapon held with 2 hands.</w:t>
      </w:r>
    </w:p>
    <w:p w14:paraId="1F2338CF" w14:textId="2B079D0A" w:rsidR="003A1CCD" w:rsidRDefault="00B102FC" w:rsidP="00E93B6F">
      <w:pPr>
        <w:jc w:val="both"/>
      </w:pPr>
      <w:r>
        <w:t>An Unarmed attack is considered Medium.</w:t>
      </w:r>
    </w:p>
    <w:tbl>
      <w:tblPr>
        <w:tblStyle w:val="TableGrid"/>
        <w:tblW w:w="0" w:type="auto"/>
        <w:tblInd w:w="108" w:type="dxa"/>
        <w:tblLook w:val="04A0" w:firstRow="1" w:lastRow="0" w:firstColumn="1" w:lastColumn="0" w:noHBand="0" w:noVBand="1"/>
      </w:tblPr>
      <w:tblGrid>
        <w:gridCol w:w="1701"/>
        <w:gridCol w:w="2942"/>
      </w:tblGrid>
      <w:tr w:rsidR="00B102FC" w14:paraId="7013F854" w14:textId="77777777" w:rsidTr="00B102FC">
        <w:tc>
          <w:tcPr>
            <w:tcW w:w="1701" w:type="dxa"/>
          </w:tcPr>
          <w:p w14:paraId="0CAFA8E4" w14:textId="70684749" w:rsidR="00B102FC" w:rsidRPr="00B102FC" w:rsidRDefault="00B102FC" w:rsidP="00B102FC">
            <w:pPr>
              <w:jc w:val="center"/>
              <w:rPr>
                <w:b/>
              </w:rPr>
            </w:pPr>
            <w:r w:rsidRPr="00B102FC">
              <w:rPr>
                <w:b/>
              </w:rPr>
              <w:t>At</w:t>
            </w:r>
            <w:r>
              <w:rPr>
                <w:b/>
              </w:rPr>
              <w:t>tac</w:t>
            </w:r>
            <w:r w:rsidRPr="00B102FC">
              <w:rPr>
                <w:b/>
              </w:rPr>
              <w:t xml:space="preserve">k </w:t>
            </w:r>
            <w:r w:rsidR="00E16A13">
              <w:rPr>
                <w:b/>
              </w:rPr>
              <w:t>Weight</w:t>
            </w:r>
          </w:p>
        </w:tc>
        <w:tc>
          <w:tcPr>
            <w:tcW w:w="2942" w:type="dxa"/>
          </w:tcPr>
          <w:p w14:paraId="49EEFAAF" w14:textId="0771B243" w:rsidR="00B102FC" w:rsidRPr="00B102FC" w:rsidRDefault="00B102FC" w:rsidP="00B102FC">
            <w:pPr>
              <w:jc w:val="center"/>
              <w:rPr>
                <w:b/>
              </w:rPr>
            </w:pPr>
            <w:r w:rsidRPr="00B102FC">
              <w:rPr>
                <w:b/>
              </w:rPr>
              <w:t>Base Damage</w:t>
            </w:r>
          </w:p>
        </w:tc>
      </w:tr>
      <w:tr w:rsidR="00B102FC" w14:paraId="69CB6CEC" w14:textId="77777777" w:rsidTr="00B102FC">
        <w:tc>
          <w:tcPr>
            <w:tcW w:w="1701" w:type="dxa"/>
          </w:tcPr>
          <w:p w14:paraId="492AB47D" w14:textId="3CC42AD3" w:rsidR="00B102FC" w:rsidRDefault="00B102FC" w:rsidP="00B102FC">
            <w:pPr>
              <w:jc w:val="center"/>
            </w:pPr>
            <w:r>
              <w:t>Light</w:t>
            </w:r>
          </w:p>
        </w:tc>
        <w:tc>
          <w:tcPr>
            <w:tcW w:w="2942" w:type="dxa"/>
          </w:tcPr>
          <w:p w14:paraId="065AF090" w14:textId="70F90319" w:rsidR="00B102FC" w:rsidRPr="00B102FC" w:rsidRDefault="00B102FC" w:rsidP="00B102FC">
            <w:pPr>
              <w:jc w:val="center"/>
              <w:rPr>
                <w:lang w:val="en"/>
              </w:rPr>
            </w:pPr>
            <w:r w:rsidRPr="00692EDA">
              <w:rPr>
                <w:lang w:val="en"/>
              </w:rPr>
              <w:t>[Weapon Damage] + MIG × 1</w:t>
            </w:r>
          </w:p>
        </w:tc>
      </w:tr>
      <w:tr w:rsidR="00B102FC" w14:paraId="3200F525" w14:textId="77777777" w:rsidTr="00B102FC">
        <w:tc>
          <w:tcPr>
            <w:tcW w:w="1701" w:type="dxa"/>
          </w:tcPr>
          <w:p w14:paraId="3C1E84CF" w14:textId="10F52282" w:rsidR="00B102FC" w:rsidRDefault="00B102FC" w:rsidP="00B102FC">
            <w:pPr>
              <w:jc w:val="center"/>
            </w:pPr>
            <w:r>
              <w:t>Medium</w:t>
            </w:r>
          </w:p>
        </w:tc>
        <w:tc>
          <w:tcPr>
            <w:tcW w:w="2942" w:type="dxa"/>
          </w:tcPr>
          <w:p w14:paraId="79D9C253" w14:textId="57BBB9E9" w:rsidR="00B102FC" w:rsidRDefault="00B102FC" w:rsidP="00B102FC">
            <w:pPr>
              <w:jc w:val="center"/>
            </w:pPr>
            <w:r w:rsidRPr="00692EDA">
              <w:rPr>
                <w:lang w:val="en"/>
              </w:rPr>
              <w:t xml:space="preserve">[Weapon Damage] + MIG × </w:t>
            </w:r>
            <w:r>
              <w:rPr>
                <w:lang w:val="en"/>
              </w:rPr>
              <w:t>2</w:t>
            </w:r>
          </w:p>
        </w:tc>
      </w:tr>
      <w:tr w:rsidR="00B102FC" w14:paraId="3D7D6E78" w14:textId="77777777" w:rsidTr="00B102FC">
        <w:tc>
          <w:tcPr>
            <w:tcW w:w="1701" w:type="dxa"/>
          </w:tcPr>
          <w:p w14:paraId="69C9642E" w14:textId="4511E0FF" w:rsidR="00B102FC" w:rsidRDefault="00B102FC" w:rsidP="00B102FC">
            <w:pPr>
              <w:jc w:val="center"/>
            </w:pPr>
            <w:r>
              <w:t>Heavy</w:t>
            </w:r>
          </w:p>
        </w:tc>
        <w:tc>
          <w:tcPr>
            <w:tcW w:w="2942" w:type="dxa"/>
          </w:tcPr>
          <w:p w14:paraId="6E152D72" w14:textId="17D4EA52" w:rsidR="00B102FC" w:rsidRDefault="00B102FC" w:rsidP="00B102FC">
            <w:pPr>
              <w:jc w:val="center"/>
            </w:pPr>
            <w:r w:rsidRPr="00692EDA">
              <w:rPr>
                <w:lang w:val="en"/>
              </w:rPr>
              <w:t xml:space="preserve">[Weapon Damage] + MIG × </w:t>
            </w:r>
            <w:r>
              <w:rPr>
                <w:lang w:val="en"/>
              </w:rPr>
              <w:t>3</w:t>
            </w:r>
          </w:p>
        </w:tc>
      </w:tr>
    </w:tbl>
    <w:p w14:paraId="1BDE89B2" w14:textId="60684E19" w:rsidR="00B102FC" w:rsidRDefault="00B102FC" w:rsidP="00B102FC">
      <w:pPr>
        <w:pStyle w:val="Heading3"/>
      </w:pPr>
      <w:r>
        <w:t>Dealing Damage (Marksman):</w:t>
      </w:r>
    </w:p>
    <w:p w14:paraId="1C2D5AC8" w14:textId="04986505" w:rsidR="00B102FC" w:rsidRDefault="00B102FC" w:rsidP="00B102FC">
      <w:pPr>
        <w:autoSpaceDE w:val="0"/>
        <w:autoSpaceDN w:val="0"/>
        <w:adjustRightInd w:val="0"/>
        <w:spacing w:after="120" w:line="276" w:lineRule="auto"/>
        <w:jc w:val="both"/>
        <w:rPr>
          <w:rFonts w:cs="Book Antiqua"/>
          <w:szCs w:val="20"/>
          <w:lang w:val="en"/>
        </w:rPr>
      </w:pPr>
      <w:r>
        <w:rPr>
          <w:rFonts w:cs="Book Antiqua"/>
          <w:szCs w:val="20"/>
          <w:lang w:val="en"/>
        </w:rPr>
        <w:t xml:space="preserve">Unlike melee and thrown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and cartridges, and a bit of luck. For such weapons, Attack Weight is a property of the weapon and </w:t>
      </w:r>
      <w:r>
        <w:rPr>
          <w:rFonts w:cs="Book Antiqua"/>
          <w:szCs w:val="20"/>
          <w:lang w:val="en"/>
        </w:rPr>
        <w:lastRenderedPageBreak/>
        <w:t xml:space="preserve">does not depend on how you use it. With that said, </w:t>
      </w:r>
      <w:r w:rsidR="00392EE9">
        <w:rPr>
          <w:rFonts w:cs="Book Antiqua"/>
          <w:szCs w:val="20"/>
          <w:lang w:val="en"/>
        </w:rPr>
        <w:t xml:space="preserve">base </w:t>
      </w:r>
      <w:r>
        <w:rPr>
          <w:rFonts w:cs="Book Antiqua"/>
          <w:szCs w:val="20"/>
          <w:lang w:val="en"/>
        </w:rPr>
        <w:t xml:space="preserve">damage with </w:t>
      </w:r>
      <w:r w:rsidR="00E16A13">
        <w:rPr>
          <w:rFonts w:cs="Book Antiqua"/>
          <w:szCs w:val="20"/>
          <w:lang w:val="en"/>
        </w:rPr>
        <w:t>projectile</w:t>
      </w:r>
      <w:r>
        <w:rPr>
          <w:rFonts w:cs="Book Antiqua"/>
          <w:szCs w:val="20"/>
          <w:lang w:val="en"/>
        </w:rPr>
        <w:t xml:space="preserve"> weapons is calculated in the following way:</w:t>
      </w:r>
    </w:p>
    <w:p w14:paraId="13006195" w14:textId="77777777" w:rsidR="00B102FC" w:rsidRPr="007C351B" w:rsidRDefault="00B102FC" w:rsidP="00B102FC">
      <w:pPr>
        <w:autoSpaceDE w:val="0"/>
        <w:autoSpaceDN w:val="0"/>
        <w:adjustRightInd w:val="0"/>
        <w:spacing w:after="120" w:line="276" w:lineRule="auto"/>
        <w:jc w:val="center"/>
        <w:rPr>
          <w:rFonts w:ascii="Consolas" w:hAnsi="Consolas" w:cs="Consolas"/>
          <w:b/>
          <w:szCs w:val="20"/>
          <w:lang w:val="en"/>
        </w:rPr>
      </w:pPr>
      <w:r w:rsidRPr="007C351B">
        <w:rPr>
          <w:rFonts w:ascii="Consolas" w:hAnsi="Consolas" w:cs="Consolas"/>
          <w:b/>
          <w:szCs w:val="20"/>
          <w:lang w:val="en"/>
        </w:rPr>
        <w:t>[Weapon Damage] × Multiplier</w:t>
      </w:r>
    </w:p>
    <w:p w14:paraId="10AC4A14" w14:textId="548D4CD1" w:rsidR="00B102FC" w:rsidRDefault="00B102FC" w:rsidP="00B102FC">
      <w:pPr>
        <w:autoSpaceDE w:val="0"/>
        <w:autoSpaceDN w:val="0"/>
        <w:adjustRightInd w:val="0"/>
        <w:spacing w:line="276" w:lineRule="auto"/>
        <w:jc w:val="both"/>
        <w:rPr>
          <w:rFonts w:cs="Book Antiqua"/>
          <w:szCs w:val="20"/>
          <w:lang w:val="en"/>
        </w:rPr>
      </w:pPr>
      <w:r>
        <w:rPr>
          <w:rFonts w:cs="Book Antiqua"/>
          <w:szCs w:val="20"/>
          <w:lang w:val="en"/>
        </w:rPr>
        <w:t>Weapon damage may depend on the type of ammunition used.</w:t>
      </w:r>
    </w:p>
    <w:p w14:paraId="3CA2968A" w14:textId="6C6D056A" w:rsidR="00B102FC" w:rsidRDefault="00B102FC" w:rsidP="00B102FC">
      <w:pPr>
        <w:autoSpaceDE w:val="0"/>
        <w:autoSpaceDN w:val="0"/>
        <w:adjustRightInd w:val="0"/>
        <w:spacing w:line="276" w:lineRule="auto"/>
        <w:jc w:val="both"/>
        <w:rPr>
          <w:rFonts w:cs="Book Antiqua"/>
          <w:szCs w:val="20"/>
          <w:lang w:val="en"/>
        </w:rPr>
      </w:pPr>
      <w:r>
        <w:rPr>
          <w:rFonts w:cs="Book Antiqua"/>
          <w:szCs w:val="20"/>
          <w:lang w:val="en"/>
        </w:rPr>
        <w:t xml:space="preserve">To determine the multiplier, roll a d12 and cross-reference it with the </w:t>
      </w:r>
      <w:r w:rsidR="00E16A13">
        <w:rPr>
          <w:rFonts w:cs="Book Antiqua"/>
          <w:szCs w:val="20"/>
          <w:lang w:val="en"/>
        </w:rPr>
        <w:t xml:space="preserve">weapon’s Attack Weight </w:t>
      </w:r>
      <w:r>
        <w:rPr>
          <w:rFonts w:cs="Book Antiqua"/>
          <w:szCs w:val="20"/>
          <w:lang w:val="en"/>
        </w:rPr>
        <w:t>in the table below:</w:t>
      </w:r>
    </w:p>
    <w:tbl>
      <w:tblPr>
        <w:tblStyle w:val="TableGrid"/>
        <w:tblW w:w="0" w:type="auto"/>
        <w:tblInd w:w="108" w:type="dxa"/>
        <w:tblLook w:val="04A0" w:firstRow="1" w:lastRow="0" w:firstColumn="1" w:lastColumn="0" w:noHBand="0" w:noVBand="1"/>
      </w:tblPr>
      <w:tblGrid>
        <w:gridCol w:w="1172"/>
        <w:gridCol w:w="884"/>
        <w:gridCol w:w="884"/>
        <w:gridCol w:w="884"/>
        <w:gridCol w:w="761"/>
      </w:tblGrid>
      <w:tr w:rsidR="00B102FC" w14:paraId="5950182D" w14:textId="77777777" w:rsidTr="007643E3">
        <w:trPr>
          <w:trHeight w:val="282"/>
        </w:trPr>
        <w:tc>
          <w:tcPr>
            <w:tcW w:w="1172" w:type="dxa"/>
            <w:vMerge w:val="restart"/>
            <w:vAlign w:val="center"/>
          </w:tcPr>
          <w:p w14:paraId="44760B97" w14:textId="77777777" w:rsidR="00B102FC" w:rsidRPr="001B7F1C" w:rsidRDefault="00B102FC" w:rsidP="007643E3">
            <w:pPr>
              <w:autoSpaceDE w:val="0"/>
              <w:autoSpaceDN w:val="0"/>
              <w:adjustRightInd w:val="0"/>
              <w:jc w:val="center"/>
              <w:rPr>
                <w:rFonts w:cs="Book Antiqua"/>
                <w:b/>
                <w:szCs w:val="20"/>
                <w:lang w:val="en"/>
              </w:rPr>
            </w:pPr>
            <w:r w:rsidRPr="001B7F1C">
              <w:rPr>
                <w:rFonts w:cs="Book Antiqua"/>
                <w:b/>
                <w:szCs w:val="20"/>
                <w:lang w:val="en"/>
              </w:rPr>
              <w:t>Multiplier</w:t>
            </w:r>
          </w:p>
        </w:tc>
        <w:tc>
          <w:tcPr>
            <w:tcW w:w="3409" w:type="dxa"/>
            <w:gridSpan w:val="4"/>
            <w:vAlign w:val="center"/>
          </w:tcPr>
          <w:p w14:paraId="7FA7896D" w14:textId="516599F7" w:rsidR="00B102FC" w:rsidRPr="001B7F1C" w:rsidRDefault="00E16A13" w:rsidP="007643E3">
            <w:pPr>
              <w:autoSpaceDE w:val="0"/>
              <w:autoSpaceDN w:val="0"/>
              <w:adjustRightInd w:val="0"/>
              <w:jc w:val="center"/>
              <w:rPr>
                <w:rFonts w:cs="Book Antiqua"/>
                <w:b/>
                <w:color w:val="FF0000"/>
                <w:szCs w:val="20"/>
                <w:lang w:val="en"/>
              </w:rPr>
            </w:pPr>
            <w:r>
              <w:rPr>
                <w:rFonts w:cs="Book Antiqua"/>
                <w:b/>
                <w:szCs w:val="20"/>
                <w:lang w:val="en"/>
              </w:rPr>
              <w:t>Attack Weight</w:t>
            </w:r>
            <w:r w:rsidR="00B102FC">
              <w:rPr>
                <w:rFonts w:cs="Book Antiqua"/>
                <w:b/>
                <w:szCs w:val="20"/>
                <w:lang w:val="en"/>
              </w:rPr>
              <w:t xml:space="preserve"> / </w:t>
            </w:r>
            <w:r w:rsidR="00B102FC" w:rsidRPr="00785CEC">
              <w:rPr>
                <w:rFonts w:cs="Book Antiqua"/>
                <w:b/>
                <w:szCs w:val="20"/>
                <w:lang w:val="en"/>
              </w:rPr>
              <w:t xml:space="preserve">d12 </w:t>
            </w:r>
            <w:r w:rsidR="00B102FC">
              <w:rPr>
                <w:rFonts w:cs="Book Antiqua"/>
                <w:b/>
                <w:szCs w:val="20"/>
                <w:lang w:val="en"/>
              </w:rPr>
              <w:t>r</w:t>
            </w:r>
            <w:r w:rsidR="00B102FC" w:rsidRPr="00785CEC">
              <w:rPr>
                <w:rFonts w:cs="Book Antiqua"/>
                <w:b/>
                <w:szCs w:val="20"/>
                <w:lang w:val="en"/>
              </w:rPr>
              <w:t>oll</w:t>
            </w:r>
          </w:p>
        </w:tc>
      </w:tr>
      <w:tr w:rsidR="00B102FC" w14:paraId="75AF9143" w14:textId="77777777" w:rsidTr="007643E3">
        <w:trPr>
          <w:trHeight w:val="282"/>
        </w:trPr>
        <w:tc>
          <w:tcPr>
            <w:tcW w:w="1172" w:type="dxa"/>
            <w:vMerge/>
            <w:vAlign w:val="center"/>
          </w:tcPr>
          <w:p w14:paraId="70BC60AB" w14:textId="77777777" w:rsidR="00B102FC" w:rsidRPr="001B7F1C" w:rsidRDefault="00B102FC" w:rsidP="007643E3">
            <w:pPr>
              <w:autoSpaceDE w:val="0"/>
              <w:autoSpaceDN w:val="0"/>
              <w:adjustRightInd w:val="0"/>
              <w:jc w:val="center"/>
              <w:rPr>
                <w:rFonts w:cs="Book Antiqua"/>
                <w:b/>
                <w:szCs w:val="20"/>
                <w:lang w:val="en"/>
              </w:rPr>
            </w:pPr>
          </w:p>
        </w:tc>
        <w:tc>
          <w:tcPr>
            <w:tcW w:w="884" w:type="dxa"/>
            <w:vAlign w:val="center"/>
          </w:tcPr>
          <w:p w14:paraId="05D576A9" w14:textId="1551E44F" w:rsidR="00B102FC" w:rsidRPr="001B7F1C" w:rsidRDefault="00E16A13" w:rsidP="007643E3">
            <w:pPr>
              <w:autoSpaceDE w:val="0"/>
              <w:autoSpaceDN w:val="0"/>
              <w:adjustRightInd w:val="0"/>
              <w:jc w:val="center"/>
              <w:rPr>
                <w:rFonts w:cs="Book Antiqua"/>
                <w:b/>
                <w:color w:val="FF0000"/>
                <w:szCs w:val="20"/>
                <w:lang w:val="en"/>
              </w:rPr>
            </w:pPr>
            <w:r>
              <w:rPr>
                <w:rFonts w:cs="Book Antiqua"/>
                <w:b/>
                <w:color w:val="FF0000"/>
                <w:szCs w:val="20"/>
                <w:lang w:val="en"/>
              </w:rPr>
              <w:t>Light</w:t>
            </w:r>
          </w:p>
        </w:tc>
        <w:tc>
          <w:tcPr>
            <w:tcW w:w="884" w:type="dxa"/>
            <w:vAlign w:val="center"/>
          </w:tcPr>
          <w:p w14:paraId="6935F2A8" w14:textId="093C8083" w:rsidR="00B102FC" w:rsidRPr="001B7F1C" w:rsidRDefault="00E16A13" w:rsidP="007643E3">
            <w:pPr>
              <w:autoSpaceDE w:val="0"/>
              <w:autoSpaceDN w:val="0"/>
              <w:adjustRightInd w:val="0"/>
              <w:jc w:val="center"/>
              <w:rPr>
                <w:rFonts w:cs="Book Antiqua"/>
                <w:b/>
                <w:color w:val="FF0000"/>
                <w:szCs w:val="20"/>
                <w:lang w:val="en"/>
              </w:rPr>
            </w:pPr>
            <w:r>
              <w:rPr>
                <w:rFonts w:cs="Book Antiqua"/>
                <w:b/>
                <w:color w:val="FF0000"/>
                <w:szCs w:val="20"/>
                <w:lang w:val="en"/>
              </w:rPr>
              <w:t>Med.</w:t>
            </w:r>
          </w:p>
        </w:tc>
        <w:tc>
          <w:tcPr>
            <w:tcW w:w="884" w:type="dxa"/>
            <w:vAlign w:val="center"/>
          </w:tcPr>
          <w:p w14:paraId="55AAF8E3" w14:textId="0CF51F68" w:rsidR="00B102FC" w:rsidRPr="001B7F1C" w:rsidRDefault="00E16A13" w:rsidP="007643E3">
            <w:pPr>
              <w:autoSpaceDE w:val="0"/>
              <w:autoSpaceDN w:val="0"/>
              <w:adjustRightInd w:val="0"/>
              <w:jc w:val="center"/>
              <w:rPr>
                <w:rFonts w:cs="Book Antiqua"/>
                <w:b/>
                <w:color w:val="FF0000"/>
                <w:szCs w:val="20"/>
                <w:lang w:val="en"/>
              </w:rPr>
            </w:pPr>
            <w:r>
              <w:rPr>
                <w:rFonts w:cs="Book Antiqua"/>
                <w:b/>
                <w:color w:val="FF0000"/>
                <w:szCs w:val="20"/>
                <w:lang w:val="en"/>
              </w:rPr>
              <w:t>Heavy</w:t>
            </w:r>
          </w:p>
        </w:tc>
        <w:tc>
          <w:tcPr>
            <w:tcW w:w="757" w:type="dxa"/>
          </w:tcPr>
          <w:p w14:paraId="1B1AFED9" w14:textId="27F86274" w:rsidR="00B102FC" w:rsidRDefault="00E16A13" w:rsidP="007643E3">
            <w:pPr>
              <w:autoSpaceDE w:val="0"/>
              <w:autoSpaceDN w:val="0"/>
              <w:adjustRightInd w:val="0"/>
              <w:jc w:val="center"/>
              <w:rPr>
                <w:rFonts w:cs="Book Antiqua"/>
                <w:b/>
                <w:color w:val="FF0000"/>
                <w:szCs w:val="20"/>
                <w:lang w:val="en"/>
              </w:rPr>
            </w:pPr>
            <w:r>
              <w:rPr>
                <w:rFonts w:cs="Book Antiqua"/>
                <w:b/>
                <w:color w:val="FF0000"/>
                <w:szCs w:val="20"/>
                <w:lang w:val="en"/>
              </w:rPr>
              <w:t>Super</w:t>
            </w:r>
          </w:p>
        </w:tc>
      </w:tr>
      <w:tr w:rsidR="00B102FC" w14:paraId="01109C9D" w14:textId="77777777" w:rsidTr="007643E3">
        <w:trPr>
          <w:trHeight w:val="282"/>
        </w:trPr>
        <w:tc>
          <w:tcPr>
            <w:tcW w:w="1172" w:type="dxa"/>
            <w:vAlign w:val="center"/>
          </w:tcPr>
          <w:p w14:paraId="6B64ADA6" w14:textId="77777777" w:rsidR="00B102FC" w:rsidRPr="00B76A67" w:rsidRDefault="00B102FC" w:rsidP="007643E3">
            <w:pPr>
              <w:autoSpaceDE w:val="0"/>
              <w:autoSpaceDN w:val="0"/>
              <w:adjustRightInd w:val="0"/>
              <w:jc w:val="center"/>
              <w:rPr>
                <w:rFonts w:ascii="Ebrima" w:hAnsi="Ebrima" w:cs="Book Antiqua"/>
                <w:szCs w:val="20"/>
                <w:lang w:val="en"/>
              </w:rPr>
            </w:pPr>
            <w:r>
              <w:rPr>
                <w:rFonts w:ascii="Ebrima" w:hAnsi="Ebrima" w:cs="Book Antiqua"/>
                <w:szCs w:val="20"/>
                <w:lang w:val="en"/>
              </w:rPr>
              <w:t>×0</w:t>
            </w:r>
          </w:p>
        </w:tc>
        <w:tc>
          <w:tcPr>
            <w:tcW w:w="884" w:type="dxa"/>
            <w:vAlign w:val="center"/>
          </w:tcPr>
          <w:p w14:paraId="1066B251"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 - 0</w:t>
            </w:r>
          </w:p>
        </w:tc>
        <w:tc>
          <w:tcPr>
            <w:tcW w:w="884" w:type="dxa"/>
            <w:vAlign w:val="center"/>
          </w:tcPr>
          <w:p w14:paraId="4ED38E63"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 - 0</w:t>
            </w:r>
          </w:p>
        </w:tc>
        <w:tc>
          <w:tcPr>
            <w:tcW w:w="884" w:type="dxa"/>
            <w:vAlign w:val="center"/>
          </w:tcPr>
          <w:p w14:paraId="250A5850"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 - 0</w:t>
            </w:r>
          </w:p>
        </w:tc>
        <w:tc>
          <w:tcPr>
            <w:tcW w:w="757" w:type="dxa"/>
          </w:tcPr>
          <w:p w14:paraId="18EAC191"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 - 0</w:t>
            </w:r>
          </w:p>
        </w:tc>
      </w:tr>
      <w:tr w:rsidR="00B102FC" w14:paraId="188E7245" w14:textId="77777777" w:rsidTr="007643E3">
        <w:trPr>
          <w:trHeight w:val="282"/>
        </w:trPr>
        <w:tc>
          <w:tcPr>
            <w:tcW w:w="1172" w:type="dxa"/>
            <w:vAlign w:val="center"/>
          </w:tcPr>
          <w:p w14:paraId="7554EAB4" w14:textId="77777777" w:rsidR="00B102FC" w:rsidRDefault="00B102FC" w:rsidP="007643E3">
            <w:pPr>
              <w:autoSpaceDE w:val="0"/>
              <w:autoSpaceDN w:val="0"/>
              <w:adjustRightInd w:val="0"/>
              <w:jc w:val="center"/>
              <w:rPr>
                <w:rFonts w:cs="Book Antiqua"/>
                <w:szCs w:val="20"/>
                <w:lang w:val="en"/>
              </w:rPr>
            </w:pPr>
            <w:r>
              <w:rPr>
                <w:rFonts w:cs="Book Antiqua"/>
                <w:szCs w:val="20"/>
                <w:lang w:val="en"/>
              </w:rPr>
              <w:t>×1</w:t>
            </w:r>
          </w:p>
        </w:tc>
        <w:tc>
          <w:tcPr>
            <w:tcW w:w="884" w:type="dxa"/>
            <w:vAlign w:val="center"/>
          </w:tcPr>
          <w:p w14:paraId="55BCFA05"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1 - 4</w:t>
            </w:r>
          </w:p>
        </w:tc>
        <w:tc>
          <w:tcPr>
            <w:tcW w:w="884" w:type="dxa"/>
            <w:vAlign w:val="center"/>
          </w:tcPr>
          <w:p w14:paraId="4DD07625"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1 - 3</w:t>
            </w:r>
          </w:p>
        </w:tc>
        <w:tc>
          <w:tcPr>
            <w:tcW w:w="884" w:type="dxa"/>
            <w:vAlign w:val="center"/>
          </w:tcPr>
          <w:p w14:paraId="51514B99"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1 – 2</w:t>
            </w:r>
          </w:p>
        </w:tc>
        <w:tc>
          <w:tcPr>
            <w:tcW w:w="757" w:type="dxa"/>
          </w:tcPr>
          <w:p w14:paraId="36CE0479"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1 – 2</w:t>
            </w:r>
          </w:p>
        </w:tc>
      </w:tr>
      <w:tr w:rsidR="00B102FC" w14:paraId="4F3A7844" w14:textId="77777777" w:rsidTr="007643E3">
        <w:trPr>
          <w:trHeight w:val="282"/>
        </w:trPr>
        <w:tc>
          <w:tcPr>
            <w:tcW w:w="1172" w:type="dxa"/>
            <w:vAlign w:val="center"/>
          </w:tcPr>
          <w:p w14:paraId="2BC29284" w14:textId="77777777" w:rsidR="00B102FC" w:rsidRDefault="00B102FC" w:rsidP="007643E3">
            <w:pPr>
              <w:autoSpaceDE w:val="0"/>
              <w:autoSpaceDN w:val="0"/>
              <w:adjustRightInd w:val="0"/>
              <w:jc w:val="center"/>
              <w:rPr>
                <w:rFonts w:cs="Book Antiqua"/>
                <w:szCs w:val="20"/>
                <w:lang w:val="en"/>
              </w:rPr>
            </w:pPr>
            <w:r>
              <w:rPr>
                <w:rFonts w:cs="Book Antiqua"/>
                <w:szCs w:val="20"/>
                <w:lang w:val="en"/>
              </w:rPr>
              <w:t>×2</w:t>
            </w:r>
          </w:p>
        </w:tc>
        <w:tc>
          <w:tcPr>
            <w:tcW w:w="884" w:type="dxa"/>
            <w:vAlign w:val="center"/>
          </w:tcPr>
          <w:p w14:paraId="627B9670"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5 – 8</w:t>
            </w:r>
          </w:p>
        </w:tc>
        <w:tc>
          <w:tcPr>
            <w:tcW w:w="884" w:type="dxa"/>
            <w:vAlign w:val="center"/>
          </w:tcPr>
          <w:p w14:paraId="3A472147"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4 – 6</w:t>
            </w:r>
          </w:p>
        </w:tc>
        <w:tc>
          <w:tcPr>
            <w:tcW w:w="884" w:type="dxa"/>
            <w:vAlign w:val="center"/>
          </w:tcPr>
          <w:p w14:paraId="55D46B6C"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3 – 5</w:t>
            </w:r>
          </w:p>
        </w:tc>
        <w:tc>
          <w:tcPr>
            <w:tcW w:w="757" w:type="dxa"/>
          </w:tcPr>
          <w:p w14:paraId="5129E4C7"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3 – 4</w:t>
            </w:r>
          </w:p>
        </w:tc>
      </w:tr>
      <w:tr w:rsidR="00B102FC" w14:paraId="1ED21B17" w14:textId="77777777" w:rsidTr="007643E3">
        <w:trPr>
          <w:trHeight w:val="282"/>
        </w:trPr>
        <w:tc>
          <w:tcPr>
            <w:tcW w:w="1172" w:type="dxa"/>
            <w:vAlign w:val="center"/>
          </w:tcPr>
          <w:p w14:paraId="1124979B" w14:textId="77777777" w:rsidR="00B102FC" w:rsidRDefault="00B102FC" w:rsidP="007643E3">
            <w:pPr>
              <w:autoSpaceDE w:val="0"/>
              <w:autoSpaceDN w:val="0"/>
              <w:adjustRightInd w:val="0"/>
              <w:jc w:val="center"/>
              <w:rPr>
                <w:rFonts w:cs="Book Antiqua"/>
                <w:szCs w:val="20"/>
                <w:lang w:val="en"/>
              </w:rPr>
            </w:pPr>
            <w:r>
              <w:rPr>
                <w:rFonts w:cs="Book Antiqua"/>
                <w:szCs w:val="20"/>
                <w:lang w:val="en"/>
              </w:rPr>
              <w:t>×3</w:t>
            </w:r>
          </w:p>
        </w:tc>
        <w:tc>
          <w:tcPr>
            <w:tcW w:w="884" w:type="dxa"/>
            <w:vAlign w:val="center"/>
          </w:tcPr>
          <w:p w14:paraId="43D8D30D"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9 - 12</w:t>
            </w:r>
          </w:p>
        </w:tc>
        <w:tc>
          <w:tcPr>
            <w:tcW w:w="884" w:type="dxa"/>
            <w:vAlign w:val="center"/>
          </w:tcPr>
          <w:p w14:paraId="702566F9"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7 - 9</w:t>
            </w:r>
          </w:p>
        </w:tc>
        <w:tc>
          <w:tcPr>
            <w:tcW w:w="884" w:type="dxa"/>
            <w:vAlign w:val="center"/>
          </w:tcPr>
          <w:p w14:paraId="65EC42B6"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6 – 7</w:t>
            </w:r>
          </w:p>
        </w:tc>
        <w:tc>
          <w:tcPr>
            <w:tcW w:w="757" w:type="dxa"/>
          </w:tcPr>
          <w:p w14:paraId="33C81B75"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5 – 6</w:t>
            </w:r>
          </w:p>
        </w:tc>
      </w:tr>
      <w:tr w:rsidR="00B102FC" w14:paraId="6E166BF7" w14:textId="77777777" w:rsidTr="007643E3">
        <w:trPr>
          <w:trHeight w:val="282"/>
        </w:trPr>
        <w:tc>
          <w:tcPr>
            <w:tcW w:w="1172" w:type="dxa"/>
            <w:vAlign w:val="center"/>
          </w:tcPr>
          <w:p w14:paraId="7D66150C" w14:textId="77777777" w:rsidR="00B102FC" w:rsidRDefault="00B102FC" w:rsidP="007643E3">
            <w:pPr>
              <w:autoSpaceDE w:val="0"/>
              <w:autoSpaceDN w:val="0"/>
              <w:adjustRightInd w:val="0"/>
              <w:jc w:val="center"/>
              <w:rPr>
                <w:rFonts w:cs="Book Antiqua"/>
                <w:szCs w:val="20"/>
                <w:lang w:val="en"/>
              </w:rPr>
            </w:pPr>
            <w:r>
              <w:rPr>
                <w:rFonts w:cs="Book Antiqua"/>
                <w:szCs w:val="20"/>
                <w:lang w:val="en"/>
              </w:rPr>
              <w:t>×4</w:t>
            </w:r>
          </w:p>
        </w:tc>
        <w:tc>
          <w:tcPr>
            <w:tcW w:w="884" w:type="dxa"/>
            <w:vAlign w:val="center"/>
          </w:tcPr>
          <w:p w14:paraId="50426971"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13 +</w:t>
            </w:r>
          </w:p>
        </w:tc>
        <w:tc>
          <w:tcPr>
            <w:tcW w:w="884" w:type="dxa"/>
            <w:vAlign w:val="center"/>
          </w:tcPr>
          <w:p w14:paraId="1ED3E61A"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10 - 12</w:t>
            </w:r>
          </w:p>
        </w:tc>
        <w:tc>
          <w:tcPr>
            <w:tcW w:w="884" w:type="dxa"/>
            <w:vAlign w:val="center"/>
          </w:tcPr>
          <w:p w14:paraId="422F22F3"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8 – 10</w:t>
            </w:r>
          </w:p>
        </w:tc>
        <w:tc>
          <w:tcPr>
            <w:tcW w:w="757" w:type="dxa"/>
          </w:tcPr>
          <w:p w14:paraId="255CA443"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7 – 8</w:t>
            </w:r>
          </w:p>
        </w:tc>
      </w:tr>
      <w:tr w:rsidR="00B102FC" w14:paraId="7146F321" w14:textId="77777777" w:rsidTr="007643E3">
        <w:trPr>
          <w:trHeight w:val="282"/>
        </w:trPr>
        <w:tc>
          <w:tcPr>
            <w:tcW w:w="1172" w:type="dxa"/>
            <w:vAlign w:val="center"/>
          </w:tcPr>
          <w:p w14:paraId="6D38C376" w14:textId="77777777" w:rsidR="00B102FC" w:rsidRDefault="00B102FC" w:rsidP="007643E3">
            <w:pPr>
              <w:autoSpaceDE w:val="0"/>
              <w:autoSpaceDN w:val="0"/>
              <w:adjustRightInd w:val="0"/>
              <w:jc w:val="center"/>
              <w:rPr>
                <w:rFonts w:cs="Book Antiqua"/>
                <w:szCs w:val="20"/>
                <w:lang w:val="en"/>
              </w:rPr>
            </w:pPr>
            <w:r>
              <w:rPr>
                <w:rFonts w:cs="Book Antiqua"/>
                <w:szCs w:val="20"/>
                <w:lang w:val="en"/>
              </w:rPr>
              <w:t>×5</w:t>
            </w:r>
          </w:p>
        </w:tc>
        <w:tc>
          <w:tcPr>
            <w:tcW w:w="884" w:type="dxa"/>
            <w:vAlign w:val="center"/>
          </w:tcPr>
          <w:p w14:paraId="35AF72E4"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w:t>
            </w:r>
          </w:p>
        </w:tc>
        <w:tc>
          <w:tcPr>
            <w:tcW w:w="884" w:type="dxa"/>
            <w:vAlign w:val="center"/>
          </w:tcPr>
          <w:p w14:paraId="26D75365"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13 +</w:t>
            </w:r>
          </w:p>
        </w:tc>
        <w:tc>
          <w:tcPr>
            <w:tcW w:w="884" w:type="dxa"/>
            <w:vAlign w:val="center"/>
          </w:tcPr>
          <w:p w14:paraId="2DA716DE"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11 – 12</w:t>
            </w:r>
          </w:p>
        </w:tc>
        <w:tc>
          <w:tcPr>
            <w:tcW w:w="757" w:type="dxa"/>
          </w:tcPr>
          <w:p w14:paraId="7E251FEE"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9 – 10</w:t>
            </w:r>
          </w:p>
        </w:tc>
      </w:tr>
      <w:tr w:rsidR="00B102FC" w14:paraId="6DB8007D" w14:textId="77777777" w:rsidTr="007643E3">
        <w:trPr>
          <w:trHeight w:val="282"/>
        </w:trPr>
        <w:tc>
          <w:tcPr>
            <w:tcW w:w="1172" w:type="dxa"/>
            <w:vAlign w:val="center"/>
          </w:tcPr>
          <w:p w14:paraId="49EA3AFD" w14:textId="77777777" w:rsidR="00B102FC" w:rsidRDefault="00B102FC" w:rsidP="007643E3">
            <w:pPr>
              <w:autoSpaceDE w:val="0"/>
              <w:autoSpaceDN w:val="0"/>
              <w:adjustRightInd w:val="0"/>
              <w:jc w:val="center"/>
              <w:rPr>
                <w:rFonts w:cs="Book Antiqua"/>
                <w:szCs w:val="20"/>
                <w:lang w:val="en"/>
              </w:rPr>
            </w:pPr>
            <w:r>
              <w:rPr>
                <w:rFonts w:cs="Book Antiqua"/>
                <w:szCs w:val="20"/>
                <w:lang w:val="en"/>
              </w:rPr>
              <w:t>×6</w:t>
            </w:r>
          </w:p>
        </w:tc>
        <w:tc>
          <w:tcPr>
            <w:tcW w:w="884" w:type="dxa"/>
            <w:vAlign w:val="center"/>
          </w:tcPr>
          <w:p w14:paraId="39E5DB72"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w:t>
            </w:r>
          </w:p>
        </w:tc>
        <w:tc>
          <w:tcPr>
            <w:tcW w:w="884" w:type="dxa"/>
            <w:vAlign w:val="center"/>
          </w:tcPr>
          <w:p w14:paraId="42206E98"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w:t>
            </w:r>
          </w:p>
        </w:tc>
        <w:tc>
          <w:tcPr>
            <w:tcW w:w="884" w:type="dxa"/>
            <w:vAlign w:val="center"/>
          </w:tcPr>
          <w:p w14:paraId="713F9050"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13+</w:t>
            </w:r>
          </w:p>
        </w:tc>
        <w:tc>
          <w:tcPr>
            <w:tcW w:w="757" w:type="dxa"/>
          </w:tcPr>
          <w:p w14:paraId="2E9037C3" w14:textId="77777777" w:rsidR="00B102FC" w:rsidRPr="00785CEC" w:rsidRDefault="00B102FC" w:rsidP="007643E3">
            <w:pPr>
              <w:autoSpaceDE w:val="0"/>
              <w:autoSpaceDN w:val="0"/>
              <w:adjustRightInd w:val="0"/>
              <w:jc w:val="center"/>
              <w:rPr>
                <w:rFonts w:cs="Book Antiqua"/>
                <w:sz w:val="18"/>
                <w:szCs w:val="18"/>
                <w:lang w:val="en"/>
              </w:rPr>
            </w:pPr>
            <w:r w:rsidRPr="00785CEC">
              <w:rPr>
                <w:rFonts w:cs="Book Antiqua"/>
                <w:sz w:val="18"/>
                <w:szCs w:val="18"/>
                <w:lang w:val="en"/>
              </w:rPr>
              <w:t>11 - 12</w:t>
            </w:r>
          </w:p>
        </w:tc>
      </w:tr>
      <w:tr w:rsidR="00B102FC" w14:paraId="205031BD" w14:textId="77777777" w:rsidTr="007643E3">
        <w:trPr>
          <w:trHeight w:val="282"/>
        </w:trPr>
        <w:tc>
          <w:tcPr>
            <w:tcW w:w="1172" w:type="dxa"/>
            <w:vAlign w:val="center"/>
          </w:tcPr>
          <w:p w14:paraId="46F7B4A5" w14:textId="77777777" w:rsidR="00B102FC" w:rsidRDefault="00B102FC" w:rsidP="007643E3">
            <w:pPr>
              <w:autoSpaceDE w:val="0"/>
              <w:autoSpaceDN w:val="0"/>
              <w:adjustRightInd w:val="0"/>
              <w:jc w:val="center"/>
              <w:rPr>
                <w:rFonts w:cs="Book Antiqua"/>
                <w:szCs w:val="20"/>
                <w:lang w:val="en"/>
              </w:rPr>
            </w:pPr>
            <w:r>
              <w:rPr>
                <w:rFonts w:cs="Book Antiqua"/>
                <w:szCs w:val="20"/>
                <w:lang w:val="en"/>
              </w:rPr>
              <w:t>×7</w:t>
            </w:r>
          </w:p>
        </w:tc>
        <w:tc>
          <w:tcPr>
            <w:tcW w:w="884" w:type="dxa"/>
            <w:vAlign w:val="center"/>
          </w:tcPr>
          <w:p w14:paraId="27D9F3E3" w14:textId="77777777" w:rsidR="00B102FC" w:rsidRPr="00785CEC" w:rsidRDefault="00B102FC" w:rsidP="007643E3">
            <w:pPr>
              <w:autoSpaceDE w:val="0"/>
              <w:autoSpaceDN w:val="0"/>
              <w:adjustRightInd w:val="0"/>
              <w:jc w:val="center"/>
              <w:rPr>
                <w:rFonts w:cs="Book Antiqua"/>
                <w:sz w:val="18"/>
                <w:szCs w:val="18"/>
                <w:lang w:val="en"/>
              </w:rPr>
            </w:pPr>
            <w:r>
              <w:rPr>
                <w:rFonts w:cs="Book Antiqua"/>
                <w:sz w:val="18"/>
                <w:szCs w:val="18"/>
                <w:lang w:val="en"/>
              </w:rPr>
              <w:t>-</w:t>
            </w:r>
          </w:p>
        </w:tc>
        <w:tc>
          <w:tcPr>
            <w:tcW w:w="884" w:type="dxa"/>
            <w:vAlign w:val="center"/>
          </w:tcPr>
          <w:p w14:paraId="6F6E0C0D" w14:textId="77777777" w:rsidR="00B102FC" w:rsidRPr="00785CEC" w:rsidRDefault="00B102FC" w:rsidP="007643E3">
            <w:pPr>
              <w:autoSpaceDE w:val="0"/>
              <w:autoSpaceDN w:val="0"/>
              <w:adjustRightInd w:val="0"/>
              <w:jc w:val="center"/>
              <w:rPr>
                <w:rFonts w:cs="Book Antiqua"/>
                <w:sz w:val="18"/>
                <w:szCs w:val="18"/>
                <w:lang w:val="en"/>
              </w:rPr>
            </w:pPr>
            <w:r>
              <w:rPr>
                <w:rFonts w:cs="Book Antiqua"/>
                <w:sz w:val="18"/>
                <w:szCs w:val="18"/>
                <w:lang w:val="en"/>
              </w:rPr>
              <w:t>-</w:t>
            </w:r>
          </w:p>
        </w:tc>
        <w:tc>
          <w:tcPr>
            <w:tcW w:w="884" w:type="dxa"/>
            <w:vAlign w:val="center"/>
          </w:tcPr>
          <w:p w14:paraId="6BD13E97" w14:textId="77777777" w:rsidR="00B102FC" w:rsidRPr="00785CEC" w:rsidRDefault="00B102FC" w:rsidP="007643E3">
            <w:pPr>
              <w:autoSpaceDE w:val="0"/>
              <w:autoSpaceDN w:val="0"/>
              <w:adjustRightInd w:val="0"/>
              <w:jc w:val="center"/>
              <w:rPr>
                <w:rFonts w:cs="Book Antiqua"/>
                <w:sz w:val="18"/>
                <w:szCs w:val="18"/>
                <w:lang w:val="en"/>
              </w:rPr>
            </w:pPr>
            <w:r>
              <w:rPr>
                <w:rFonts w:cs="Book Antiqua"/>
                <w:sz w:val="18"/>
                <w:szCs w:val="18"/>
                <w:lang w:val="en"/>
              </w:rPr>
              <w:t>-</w:t>
            </w:r>
          </w:p>
        </w:tc>
        <w:tc>
          <w:tcPr>
            <w:tcW w:w="757" w:type="dxa"/>
          </w:tcPr>
          <w:p w14:paraId="555B0809" w14:textId="77777777" w:rsidR="00B102FC" w:rsidRPr="00785CEC" w:rsidRDefault="00B102FC" w:rsidP="007643E3">
            <w:pPr>
              <w:autoSpaceDE w:val="0"/>
              <w:autoSpaceDN w:val="0"/>
              <w:adjustRightInd w:val="0"/>
              <w:jc w:val="center"/>
              <w:rPr>
                <w:rFonts w:cs="Book Antiqua"/>
                <w:sz w:val="18"/>
                <w:szCs w:val="18"/>
                <w:lang w:val="en"/>
              </w:rPr>
            </w:pPr>
            <w:r>
              <w:rPr>
                <w:rFonts w:cs="Book Antiqua"/>
                <w:sz w:val="18"/>
                <w:szCs w:val="18"/>
                <w:lang w:val="en"/>
              </w:rPr>
              <w:t>13+</w:t>
            </w:r>
          </w:p>
        </w:tc>
      </w:tr>
    </w:tbl>
    <w:p w14:paraId="3F90EBCA" w14:textId="77777777" w:rsidR="00B102FC" w:rsidRDefault="00B102FC" w:rsidP="00B102FC">
      <w:pPr>
        <w:autoSpaceDE w:val="0"/>
        <w:autoSpaceDN w:val="0"/>
        <w:adjustRightInd w:val="0"/>
        <w:spacing w:after="0" w:line="276" w:lineRule="auto"/>
        <w:jc w:val="both"/>
        <w:rPr>
          <w:rFonts w:cs="Book Antiqua"/>
          <w:szCs w:val="20"/>
          <w:lang w:val="en"/>
        </w:rPr>
      </w:pPr>
    </w:p>
    <w:p w14:paraId="35B26CD7" w14:textId="7D61B4C5" w:rsidR="00B102FC" w:rsidRDefault="00B102FC" w:rsidP="00B102FC">
      <w:pPr>
        <w:autoSpaceDE w:val="0"/>
        <w:autoSpaceDN w:val="0"/>
        <w:adjustRightInd w:val="0"/>
        <w:spacing w:line="276" w:lineRule="auto"/>
        <w:jc w:val="both"/>
        <w:rPr>
          <w:rFonts w:cs="Book Antiqua"/>
          <w:szCs w:val="20"/>
          <w:lang w:val="en"/>
        </w:rPr>
      </w:pPr>
      <w:r>
        <w:rPr>
          <w:rFonts w:cs="Book Antiqua"/>
          <w:szCs w:val="20"/>
          <w:lang w:val="en"/>
        </w:rPr>
        <w:t>This makes projectile weapons volatile and often dangerous even in amateur’s hands.</w:t>
      </w:r>
    </w:p>
    <w:p w14:paraId="2860D76A" w14:textId="1F1D1B3E" w:rsidR="00E16A13" w:rsidRDefault="00E16A13" w:rsidP="00E16A13">
      <w:pPr>
        <w:pStyle w:val="Heading3"/>
        <w:rPr>
          <w:lang w:val="en"/>
        </w:rPr>
      </w:pPr>
      <w:r>
        <w:rPr>
          <w:lang w:val="en"/>
        </w:rPr>
        <w:t>Hit Location:</w:t>
      </w:r>
    </w:p>
    <w:p w14:paraId="3AAACDAD" w14:textId="3D8F90CE" w:rsidR="00E16A13" w:rsidRPr="00E16A13" w:rsidRDefault="00E16A13" w:rsidP="00E16A13">
      <w:pPr>
        <w:jc w:val="both"/>
        <w:rPr>
          <w:lang w:val="en"/>
        </w:rPr>
      </w:pPr>
      <w:r>
        <w:rPr>
          <w:lang w:val="en"/>
        </w:rPr>
        <w:t>For most attacks it will be important to determine where exactly they hit. This will be explained in one of the following sections.</w:t>
      </w:r>
    </w:p>
    <w:p w14:paraId="2029CFA0" w14:textId="3B3B1CB1" w:rsidR="00E16A13" w:rsidRDefault="00E16A13" w:rsidP="00E16A13">
      <w:pPr>
        <w:pStyle w:val="Heading3"/>
        <w:rPr>
          <w:lang w:val="en"/>
        </w:rPr>
      </w:pPr>
      <w:r>
        <w:rPr>
          <w:lang w:val="en"/>
        </w:rPr>
        <w:t>Damage Reduction:</w:t>
      </w:r>
    </w:p>
    <w:p w14:paraId="65C88565" w14:textId="4DDBEEFB" w:rsidR="00E16A13" w:rsidRPr="00E16A13" w:rsidRDefault="00E16A13" w:rsidP="00E16A13">
      <w:pPr>
        <w:jc w:val="both"/>
        <w:rPr>
          <w:szCs w:val="20"/>
          <w:lang w:val="en"/>
        </w:rPr>
      </w:pPr>
      <w:r w:rsidRPr="00692EDA">
        <w:rPr>
          <w:rFonts w:cs="Book Antiqua"/>
          <w:szCs w:val="20"/>
          <w:lang w:val="en"/>
        </w:rPr>
        <w:t>If the target is wearing armour or has another form of damage reduction, total damage dealt may be reduced (see the "Equipment" chapter).</w:t>
      </w:r>
    </w:p>
    <w:p w14:paraId="52C23AE4" w14:textId="4F749CC1" w:rsidR="00E16A13" w:rsidRDefault="00E16A13" w:rsidP="00E16A13">
      <w:pPr>
        <w:pStyle w:val="Heading3"/>
        <w:rPr>
          <w:lang w:val="en"/>
        </w:rPr>
      </w:pPr>
      <w:r>
        <w:rPr>
          <w:lang w:val="en"/>
        </w:rPr>
        <w:t>Wounds:</w:t>
      </w:r>
    </w:p>
    <w:p w14:paraId="47AE69DC" w14:textId="6A3D575D" w:rsidR="00E16A13" w:rsidRPr="00E16A13" w:rsidRDefault="00E16A13" w:rsidP="00E16A13">
      <w:pPr>
        <w:jc w:val="both"/>
        <w:rPr>
          <w:lang w:val="en"/>
        </w:rPr>
      </w:pPr>
      <w:r>
        <w:rPr>
          <w:lang w:val="en"/>
        </w:rPr>
        <w:t xml:space="preserve">After subtracting the defender’s Damage Reduction from the </w:t>
      </w:r>
      <w:proofErr w:type="gramStart"/>
      <w:r>
        <w:rPr>
          <w:lang w:val="en"/>
        </w:rPr>
        <w:t>damage</w:t>
      </w:r>
      <w:proofErr w:type="gramEnd"/>
      <w:r>
        <w:rPr>
          <w:lang w:val="en"/>
        </w:rPr>
        <w:t xml:space="preserve"> they receive, they may receive a Wound or a Concussion. For more information, see the “</w:t>
      </w:r>
      <w:r w:rsidR="00CF70C5">
        <w:rPr>
          <w:color w:val="FF0000"/>
          <w:lang w:val="en"/>
        </w:rPr>
        <w:t>Injury &amp; Death</w:t>
      </w:r>
      <w:r>
        <w:rPr>
          <w:lang w:val="en"/>
        </w:rPr>
        <w:t>” chapter.</w:t>
      </w:r>
    </w:p>
    <w:p w14:paraId="0B657CE2" w14:textId="77777777" w:rsidR="00E16A13" w:rsidRDefault="00E16A13" w:rsidP="00E16A13">
      <w:pPr>
        <w:pStyle w:val="Heading3"/>
        <w:rPr>
          <w:lang w:val="en"/>
        </w:rPr>
      </w:pPr>
      <w:r>
        <w:rPr>
          <w:lang w:val="en"/>
        </w:rPr>
        <w:t>Allocating Extra Successes:</w:t>
      </w:r>
    </w:p>
    <w:p w14:paraId="6C75287E" w14:textId="1BDE2982" w:rsidR="00392EE9" w:rsidRDefault="00392EE9" w:rsidP="00392EE9">
      <w:pPr>
        <w:jc w:val="both"/>
        <w:rPr>
          <w:lang w:val="en"/>
        </w:rPr>
      </w:pPr>
      <w:r>
        <w:rPr>
          <w:lang w:val="en"/>
        </w:rPr>
        <w:t>Any extra success over those generated by the defender may be allocated towards making the attack more effective (increasing damage, bypassing armour etc.). For more information, see the “Special Effects” section.</w:t>
      </w:r>
    </w:p>
    <w:p w14:paraId="3D3FB8E8" w14:textId="77777777" w:rsidR="00392EE9" w:rsidRDefault="00392EE9" w:rsidP="00E93B6F">
      <w:pPr>
        <w:jc w:val="both"/>
      </w:pPr>
    </w:p>
    <w:p w14:paraId="6011FB5C" w14:textId="0D9C38E7" w:rsidR="003A1CCD" w:rsidRDefault="00392EE9" w:rsidP="00392EE9">
      <w:pPr>
        <w:pStyle w:val="Heading3"/>
      </w:pPr>
      <w:r>
        <w:t>Advancement:</w:t>
      </w:r>
    </w:p>
    <w:p w14:paraId="393A5358" w14:textId="6125F382" w:rsidR="00392EE9" w:rsidRDefault="00392EE9" w:rsidP="00E93B6F">
      <w:pPr>
        <w:jc w:val="both"/>
      </w:pPr>
      <w:r>
        <w:t>For purposes of advancement, the DC of any Skill Test made to attack is equal to the total number of successes generated by the defender.</w:t>
      </w:r>
    </w:p>
    <w:p w14:paraId="07FBA5A9" w14:textId="1096CB50" w:rsidR="0010797A" w:rsidRDefault="0010797A" w:rsidP="00D43A47">
      <w:pPr>
        <w:pStyle w:val="Subtitle"/>
      </w:pPr>
      <w:r>
        <w:t>Brace:</w:t>
      </w:r>
    </w:p>
    <w:p w14:paraId="04026B45" w14:textId="32F2E2F8" w:rsidR="00D43A47" w:rsidRPr="00D43A47" w:rsidRDefault="00D43A47" w:rsidP="00E93B6F">
      <w:pPr>
        <w:jc w:val="both"/>
        <w:rPr>
          <w:color w:val="FF0000"/>
        </w:rPr>
      </w:pPr>
      <w:r w:rsidRPr="00D43A47">
        <w:rPr>
          <w:color w:val="FF0000"/>
        </w:rPr>
        <w:t>&lt;Placeholder&gt;</w:t>
      </w:r>
    </w:p>
    <w:p w14:paraId="3E52293D" w14:textId="2AFA17DD" w:rsidR="0010797A" w:rsidRDefault="0010797A" w:rsidP="00D43A47">
      <w:pPr>
        <w:pStyle w:val="Subtitle"/>
      </w:pPr>
      <w:r>
        <w:t>Bull Rush:</w:t>
      </w:r>
    </w:p>
    <w:p w14:paraId="577255F8" w14:textId="18BF5375" w:rsidR="00D43A47" w:rsidRPr="00D43A47" w:rsidRDefault="00D43A47" w:rsidP="00E93B6F">
      <w:pPr>
        <w:jc w:val="both"/>
        <w:rPr>
          <w:color w:val="FF0000"/>
        </w:rPr>
      </w:pPr>
      <w:r w:rsidRPr="00D43A47">
        <w:rPr>
          <w:color w:val="FF0000"/>
        </w:rPr>
        <w:t>&lt;Placeholder&gt;</w:t>
      </w:r>
    </w:p>
    <w:p w14:paraId="0EA68000" w14:textId="77777777" w:rsidR="00EB3B5A" w:rsidRDefault="00EB3B5A" w:rsidP="00E93B6F">
      <w:pPr>
        <w:jc w:val="both"/>
      </w:pPr>
    </w:p>
    <w:p w14:paraId="09436C08" w14:textId="1DE453DB" w:rsidR="00D96758" w:rsidRPr="00D96758" w:rsidRDefault="00C7696F" w:rsidP="00D96758">
      <w:pPr>
        <w:pStyle w:val="Title"/>
      </w:pPr>
      <w:r>
        <w:br w:type="column"/>
      </w:r>
      <w:r w:rsidR="00D96758">
        <w:lastRenderedPageBreak/>
        <w:t>Determining Hit Locations:</w:t>
      </w:r>
    </w:p>
    <w:p w14:paraId="0A12CB2E" w14:textId="4EA33E17" w:rsidR="00937161" w:rsidRDefault="00525149" w:rsidP="00937161">
      <w:pPr>
        <w:jc w:val="both"/>
      </w:pPr>
      <w:r w:rsidRPr="00525149">
        <w:t xml:space="preserve">The default </w:t>
      </w:r>
      <w:r>
        <w:t>hit location for all attacks is the largest part of the defender’s body that’s reachable and accessible to the attacker – this will usually be the target’s torso.</w:t>
      </w:r>
    </w:p>
    <w:p w14:paraId="7E4B5E14" w14:textId="197634F9" w:rsidR="00525149" w:rsidRPr="00525149" w:rsidRDefault="00525149" w:rsidP="00525149">
      <w:pPr>
        <w:spacing w:after="0"/>
        <w:jc w:val="both"/>
        <w:rPr>
          <w:color w:val="FF0000"/>
        </w:rPr>
      </w:pPr>
      <w:r w:rsidRPr="00525149">
        <w:rPr>
          <w:color w:val="FF0000"/>
        </w:rPr>
        <w:t>In the “Special effects” section:</w:t>
      </w:r>
    </w:p>
    <w:p w14:paraId="6791E8F8" w14:textId="10574053" w:rsidR="00525149" w:rsidRPr="00525149" w:rsidRDefault="00525149" w:rsidP="008E1311">
      <w:pPr>
        <w:pStyle w:val="ListParagraph"/>
        <w:numPr>
          <w:ilvl w:val="0"/>
          <w:numId w:val="1"/>
        </w:numPr>
        <w:jc w:val="both"/>
        <w:rPr>
          <w:color w:val="FF0000"/>
        </w:rPr>
      </w:pPr>
      <w:r w:rsidRPr="00525149">
        <w:rPr>
          <w:color w:val="FF0000"/>
        </w:rPr>
        <w:t>Moving the Hit location</w:t>
      </w:r>
    </w:p>
    <w:p w14:paraId="07889E86" w14:textId="0D5D2B4C" w:rsidR="00525149" w:rsidRDefault="00525149" w:rsidP="008E1311">
      <w:pPr>
        <w:pStyle w:val="ListParagraph"/>
        <w:numPr>
          <w:ilvl w:val="0"/>
          <w:numId w:val="1"/>
        </w:numPr>
        <w:jc w:val="both"/>
        <w:rPr>
          <w:color w:val="FF0000"/>
        </w:rPr>
      </w:pPr>
      <w:r w:rsidRPr="00525149">
        <w:rPr>
          <w:color w:val="FF0000"/>
        </w:rPr>
        <w:t>Precise Targeting</w:t>
      </w:r>
    </w:p>
    <w:p w14:paraId="4A52C645" w14:textId="0DA05C62" w:rsidR="00525149" w:rsidRDefault="00525149" w:rsidP="00525149">
      <w:pPr>
        <w:jc w:val="both"/>
      </w:pPr>
      <w:r>
        <w:t xml:space="preserve">In melee combat, if the defender is aware of the attacker and </w:t>
      </w:r>
      <w:proofErr w:type="gramStart"/>
      <w:r>
        <w:t>is able to</w:t>
      </w:r>
      <w:proofErr w:type="gramEnd"/>
      <w:r>
        <w:t xml:space="preserve"> </w:t>
      </w:r>
      <w:proofErr w:type="spellStart"/>
      <w:r>
        <w:t>maneuver</w:t>
      </w:r>
      <w:proofErr w:type="spellEnd"/>
      <w:r>
        <w:t xml:space="preserve"> against them, they may choose to expose a </w:t>
      </w:r>
      <w:r w:rsidR="009C42D8">
        <w:t xml:space="preserve">different </w:t>
      </w:r>
      <w:r>
        <w:t>location (body part) to be the default hit location</w:t>
      </w:r>
      <w:r w:rsidR="009C42D8">
        <w:t>. This choice can be made for each attack individually, but before any dice are rolled. Doing this awards the attacker with 1 die of Advantage.</w:t>
      </w:r>
    </w:p>
    <w:p w14:paraId="5C04CBEE" w14:textId="4AF92B89" w:rsidR="00AA2C20" w:rsidRDefault="00AA2C20" w:rsidP="00AA2C20">
      <w:pPr>
        <w:pStyle w:val="Title"/>
      </w:pPr>
      <w:r>
        <w:t>Conditional Attack Modifiers:</w:t>
      </w:r>
    </w:p>
    <w:p w14:paraId="3D88D449" w14:textId="41CE0D1A" w:rsidR="00DC4145" w:rsidRDefault="00DC4145" w:rsidP="0010797A">
      <w:pPr>
        <w:pStyle w:val="Subtitle"/>
      </w:pPr>
      <w:r>
        <w:t>Prone Position:</w:t>
      </w:r>
    </w:p>
    <w:p w14:paraId="18D98480" w14:textId="0982C0AB" w:rsidR="0010797A" w:rsidRPr="0010797A" w:rsidRDefault="0010797A" w:rsidP="00AA2C20">
      <w:pPr>
        <w:rPr>
          <w:color w:val="FF0000"/>
        </w:rPr>
      </w:pPr>
      <w:r w:rsidRPr="0010797A">
        <w:rPr>
          <w:color w:val="FF0000"/>
        </w:rPr>
        <w:t>&lt;Placeholder&gt;</w:t>
      </w:r>
    </w:p>
    <w:p w14:paraId="5407FF69" w14:textId="69011849" w:rsidR="00AA2C20" w:rsidRDefault="00DC4145" w:rsidP="0010797A">
      <w:pPr>
        <w:pStyle w:val="Subtitle"/>
      </w:pPr>
      <w:r>
        <w:t>Size Difference:</w:t>
      </w:r>
    </w:p>
    <w:p w14:paraId="258DBB3B" w14:textId="77777777" w:rsidR="0010797A" w:rsidRPr="0010797A" w:rsidRDefault="0010797A" w:rsidP="0010797A">
      <w:pPr>
        <w:rPr>
          <w:color w:val="FF0000"/>
        </w:rPr>
      </w:pPr>
      <w:r w:rsidRPr="0010797A">
        <w:rPr>
          <w:color w:val="FF0000"/>
        </w:rPr>
        <w:t>&lt;Placeholder&gt;</w:t>
      </w:r>
    </w:p>
    <w:p w14:paraId="7E057976" w14:textId="77777777" w:rsidR="0010797A" w:rsidRDefault="00DC4145" w:rsidP="0010797A">
      <w:pPr>
        <w:pStyle w:val="Subtitle"/>
      </w:pPr>
      <w:r>
        <w:t>Poor Visibility:</w:t>
      </w:r>
      <w:r w:rsidR="0010797A" w:rsidRPr="0010797A">
        <w:t xml:space="preserve"> </w:t>
      </w:r>
    </w:p>
    <w:p w14:paraId="00B0CC4A" w14:textId="3311A246" w:rsidR="00DC4145" w:rsidRPr="0010797A" w:rsidRDefault="0010797A" w:rsidP="00AA2C20">
      <w:pPr>
        <w:rPr>
          <w:color w:val="FF0000"/>
        </w:rPr>
      </w:pPr>
      <w:r w:rsidRPr="0010797A">
        <w:rPr>
          <w:color w:val="FF0000"/>
        </w:rPr>
        <w:t>&lt;Placeholder&gt;</w:t>
      </w:r>
    </w:p>
    <w:p w14:paraId="0306A10E" w14:textId="468B1B64" w:rsidR="00DC4145" w:rsidRDefault="00DC4145" w:rsidP="0010797A">
      <w:pPr>
        <w:pStyle w:val="Subtitle"/>
      </w:pPr>
      <w:r>
        <w:t>Cover:</w:t>
      </w:r>
    </w:p>
    <w:p w14:paraId="4FA864FA" w14:textId="77777777" w:rsidR="0010797A" w:rsidRPr="0010797A" w:rsidRDefault="0010797A" w:rsidP="0010797A">
      <w:pPr>
        <w:rPr>
          <w:color w:val="FF0000"/>
        </w:rPr>
      </w:pPr>
      <w:r w:rsidRPr="0010797A">
        <w:rPr>
          <w:color w:val="FF0000"/>
        </w:rPr>
        <w:t>&lt;Placeholder&gt;</w:t>
      </w:r>
    </w:p>
    <w:p w14:paraId="63F7291F" w14:textId="0399E40A" w:rsidR="00E16A13" w:rsidRPr="00937161" w:rsidRDefault="00E16A13" w:rsidP="0010797A">
      <w:pPr>
        <w:pStyle w:val="Subtitle"/>
        <w:rPr>
          <w:lang w:val="en"/>
        </w:rPr>
      </w:pPr>
      <w:r w:rsidRPr="00937161">
        <w:rPr>
          <w:lang w:val="en"/>
        </w:rPr>
        <w:t>Range Increment</w:t>
      </w:r>
      <w:r w:rsidR="0010797A">
        <w:rPr>
          <w:lang w:val="en"/>
        </w:rPr>
        <w:t>:</w:t>
      </w:r>
    </w:p>
    <w:p w14:paraId="1BF165D4" w14:textId="77777777" w:rsidR="00E16A13" w:rsidRDefault="00E16A13" w:rsidP="00E16A13">
      <w:pPr>
        <w:jc w:val="both"/>
        <w:rPr>
          <w:lang w:val="en"/>
        </w:rPr>
      </w:pPr>
      <w:r>
        <w:rPr>
          <w:lang w:val="en"/>
        </w:rPr>
        <w:t>The range increment mechanic represents the scaling difficulty of hitting targets as the distance increases.</w:t>
      </w:r>
    </w:p>
    <w:p w14:paraId="36974321" w14:textId="16FCDAC7" w:rsidR="00E16A13" w:rsidRPr="00E16A13" w:rsidRDefault="00E16A13" w:rsidP="00E16A13">
      <w:pPr>
        <w:jc w:val="both"/>
        <w:rPr>
          <w:lang w:val="en"/>
        </w:rPr>
      </w:pPr>
      <w:r>
        <w:rPr>
          <w:lang w:val="en"/>
        </w:rPr>
        <w:t>For every full range increment between the attacker and his target, the DC to hit is raised by one. Use either the weapon’s range increment or the attacker’s own, whichever is lower.</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03141C13" w14:textId="77777777" w:rsidR="0010797A" w:rsidRDefault="00D96758" w:rsidP="0010797A">
      <w:pPr>
        <w:pStyle w:val="Title"/>
      </w:pPr>
      <w:r w:rsidRPr="00525149">
        <w:rPr>
          <w:color w:val="auto"/>
        </w:rPr>
        <w:br w:type="column"/>
      </w:r>
      <w:r w:rsidR="0010797A">
        <w:t>Threatened Zones:</w:t>
      </w:r>
    </w:p>
    <w:p w14:paraId="3585BCCD" w14:textId="77777777" w:rsidR="0010797A" w:rsidRDefault="0010797A" w:rsidP="0010797A">
      <w:pPr>
        <w:jc w:val="both"/>
      </w:pPr>
      <w:r>
        <w:t xml:space="preserve">In combat, combatants that are conscious and able to fight (meaning that they are not incapacitated, disabled, dropped prone and </w:t>
      </w:r>
      <w:proofErr w:type="gramStart"/>
      <w:r>
        <w:t>similar)  threaten</w:t>
      </w:r>
      <w:proofErr w:type="gramEnd"/>
      <w:r>
        <w:t xml:space="preserve"> the area in their immediate vicinity. Usually, you threaten anything that’s within your natural reach, unless you’re currently wielding a melee weapon that extends your reach.</w:t>
      </w:r>
    </w:p>
    <w:p w14:paraId="66A8CB48" w14:textId="77777777" w:rsidR="0010797A" w:rsidRDefault="0010797A" w:rsidP="0010797A">
      <w:pPr>
        <w:jc w:val="both"/>
      </w:pPr>
      <w:r>
        <w:t>Threatened areas represent areas of active engagement in combat, in which fighters must act and move carefully, lest they be struck by a vigilant opponent.</w:t>
      </w:r>
    </w:p>
    <w:p w14:paraId="748B6C95" w14:textId="0E2843EC" w:rsidR="0010797A" w:rsidRDefault="0010797A" w:rsidP="0010797A">
      <w:pPr>
        <w:jc w:val="both"/>
      </w:pPr>
      <w:r>
        <w:t>The mechanical importance of threatened zones comes through the concept of “</w:t>
      </w:r>
      <w:r w:rsidR="00DF39AC">
        <w:t>E</w:t>
      </w:r>
      <w:r>
        <w:t xml:space="preserve">xposing”. Occasionally you’ll see actions described with “Expose yourself to …”, “This action exposes you” or similar. Any time you are </w:t>
      </w:r>
      <w:r w:rsidR="00DF39AC">
        <w:t>E</w:t>
      </w:r>
      <w:r>
        <w:t xml:space="preserve">xposed while threatened by a foe, he may use the “Attack of Opportunity” reactive action to attack you (if he has 1 </w:t>
      </w:r>
      <w:r w:rsidR="00DF39AC">
        <w:t>A</w:t>
      </w:r>
      <w:r>
        <w:t xml:space="preserve">ction </w:t>
      </w:r>
      <w:r w:rsidR="00DF39AC">
        <w:t>D</w:t>
      </w:r>
      <w:r>
        <w:t>ie to spend). More information on this can be found in later sections.</w:t>
      </w:r>
    </w:p>
    <w:p w14:paraId="23D191C2" w14:textId="77777777" w:rsidR="0010797A" w:rsidRDefault="0010797A" w:rsidP="0010797A">
      <w:pPr>
        <w:pStyle w:val="Subtitle"/>
      </w:pPr>
      <w:r>
        <w:t>Movement Exposes:</w:t>
      </w:r>
    </w:p>
    <w:p w14:paraId="39D17C3E" w14:textId="77777777" w:rsidR="0010797A" w:rsidRDefault="0010797A" w:rsidP="0010797A">
      <w:pPr>
        <w:jc w:val="both"/>
      </w:pPr>
      <w:r>
        <w:t>Any time you move (no matter if voluntary or because of being knocked back or some other effect) while in a threatened zone, you are exposed. There are some special actions that permit moving without exposing yourself, but this will be stated explicitly where appropriate.</w:t>
      </w:r>
    </w:p>
    <w:p w14:paraId="34983C47" w14:textId="77777777" w:rsidR="0010797A" w:rsidRDefault="0010797A" w:rsidP="0010797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345B4392" w14:textId="4F4D3CE5" w:rsidR="00D96758" w:rsidRDefault="0010797A" w:rsidP="00D96758">
      <w:pPr>
        <w:pStyle w:val="Title"/>
        <w:rPr>
          <w:sz w:val="24"/>
          <w:szCs w:val="24"/>
        </w:rPr>
      </w:pPr>
      <w:r>
        <w:rPr>
          <w:sz w:val="24"/>
          <w:szCs w:val="24"/>
        </w:rPr>
        <w:br w:type="column"/>
      </w:r>
      <w:r w:rsidR="00D96758" w:rsidRPr="00D96758">
        <w:rPr>
          <w:sz w:val="24"/>
          <w:szCs w:val="24"/>
        </w:rPr>
        <w:lastRenderedPageBreak/>
        <w:t>Standard Action Options (Continued):</w:t>
      </w:r>
    </w:p>
    <w:p w14:paraId="3D391066" w14:textId="0F503E8B" w:rsidR="00392EE9" w:rsidRPr="00392EE9" w:rsidRDefault="00392EE9" w:rsidP="008E1311">
      <w:pPr>
        <w:pStyle w:val="ListParagraph"/>
        <w:numPr>
          <w:ilvl w:val="0"/>
          <w:numId w:val="2"/>
        </w:numPr>
        <w:jc w:val="both"/>
        <w:rPr>
          <w:color w:val="FF0000"/>
        </w:rPr>
      </w:pPr>
      <w:r w:rsidRPr="001B7F1C">
        <w:rPr>
          <w:color w:val="FF0000"/>
        </w:rPr>
        <w:t>Brace</w:t>
      </w:r>
    </w:p>
    <w:p w14:paraId="33A84249" w14:textId="1F027B18" w:rsidR="008F368D" w:rsidRDefault="008F368D" w:rsidP="008E1311">
      <w:pPr>
        <w:pStyle w:val="ListParagraph"/>
        <w:numPr>
          <w:ilvl w:val="0"/>
          <w:numId w:val="2"/>
        </w:numPr>
        <w:jc w:val="both"/>
        <w:rPr>
          <w:color w:val="FF0000"/>
        </w:rPr>
      </w:pPr>
      <w:r>
        <w:rPr>
          <w:color w:val="FF0000"/>
        </w:rPr>
        <w:t>Bull Rush</w:t>
      </w:r>
    </w:p>
    <w:p w14:paraId="1EB1DF00" w14:textId="0E80F2B1" w:rsidR="00392EE9" w:rsidRDefault="00392EE9" w:rsidP="008E1311">
      <w:pPr>
        <w:pStyle w:val="ListParagraph"/>
        <w:numPr>
          <w:ilvl w:val="0"/>
          <w:numId w:val="2"/>
        </w:numPr>
        <w:jc w:val="both"/>
        <w:rPr>
          <w:color w:val="FF0000"/>
        </w:rPr>
      </w:pPr>
      <w:r w:rsidRPr="001B7F1C">
        <w:rPr>
          <w:color w:val="FF0000"/>
        </w:rPr>
        <w:t>Charge</w:t>
      </w:r>
    </w:p>
    <w:p w14:paraId="03EB1E29" w14:textId="5975A063" w:rsidR="00D43A47" w:rsidRDefault="00D43A47" w:rsidP="008E1311">
      <w:pPr>
        <w:pStyle w:val="ListParagraph"/>
        <w:numPr>
          <w:ilvl w:val="0"/>
          <w:numId w:val="2"/>
        </w:numPr>
        <w:jc w:val="both"/>
        <w:rPr>
          <w:color w:val="FF0000"/>
        </w:rPr>
      </w:pPr>
      <w:r>
        <w:rPr>
          <w:color w:val="FF0000"/>
        </w:rPr>
        <w:t>Compel Surrender</w:t>
      </w:r>
    </w:p>
    <w:p w14:paraId="7E37C4EB" w14:textId="14DA1C6B" w:rsidR="00D43A47" w:rsidRPr="001B7F1C" w:rsidRDefault="00D43A47" w:rsidP="008E1311">
      <w:pPr>
        <w:pStyle w:val="ListParagraph"/>
        <w:numPr>
          <w:ilvl w:val="0"/>
          <w:numId w:val="2"/>
        </w:numPr>
        <w:jc w:val="both"/>
        <w:rPr>
          <w:color w:val="FF0000"/>
        </w:rPr>
      </w:pPr>
      <w:r>
        <w:rPr>
          <w:color w:val="FF0000"/>
        </w:rPr>
        <w:t>Coup de Grace</w:t>
      </w:r>
    </w:p>
    <w:p w14:paraId="218D0A79" w14:textId="77777777" w:rsidR="00392EE9" w:rsidRPr="001B7F1C" w:rsidRDefault="00392EE9" w:rsidP="008E1311">
      <w:pPr>
        <w:pStyle w:val="ListParagraph"/>
        <w:numPr>
          <w:ilvl w:val="0"/>
          <w:numId w:val="2"/>
        </w:numPr>
        <w:jc w:val="both"/>
        <w:rPr>
          <w:color w:val="FF0000"/>
        </w:rPr>
      </w:pPr>
      <w:r w:rsidRPr="001B7F1C">
        <w:rPr>
          <w:color w:val="FF0000"/>
        </w:rPr>
        <w:t>Disengage</w:t>
      </w:r>
    </w:p>
    <w:p w14:paraId="7EBC73C2" w14:textId="6A71AD44" w:rsidR="00392EE9" w:rsidRPr="00392EE9" w:rsidRDefault="00392EE9" w:rsidP="008E1311">
      <w:pPr>
        <w:pStyle w:val="ListParagraph"/>
        <w:numPr>
          <w:ilvl w:val="0"/>
          <w:numId w:val="2"/>
        </w:numPr>
        <w:jc w:val="both"/>
        <w:rPr>
          <w:color w:val="FF0000"/>
        </w:rPr>
      </w:pPr>
      <w:r w:rsidRPr="001B7F1C">
        <w:rPr>
          <w:color w:val="FF0000"/>
        </w:rPr>
        <w:t>Fire on the run</w:t>
      </w:r>
    </w:p>
    <w:p w14:paraId="19EB8517" w14:textId="299099A2" w:rsidR="00263E99" w:rsidRPr="00392EE9" w:rsidRDefault="00263E99" w:rsidP="008E1311">
      <w:pPr>
        <w:pStyle w:val="ListParagraph"/>
        <w:numPr>
          <w:ilvl w:val="0"/>
          <w:numId w:val="2"/>
        </w:numPr>
        <w:jc w:val="both"/>
        <w:rPr>
          <w:color w:val="FF0000"/>
        </w:rPr>
      </w:pPr>
      <w:r w:rsidRPr="001B7F1C">
        <w:rPr>
          <w:color w:val="FF0000"/>
        </w:rPr>
        <w:t>Move &amp; Engage</w:t>
      </w:r>
    </w:p>
    <w:p w14:paraId="7B5D7A20" w14:textId="26110C3B" w:rsidR="00263E99" w:rsidRDefault="00263E99" w:rsidP="008E1311">
      <w:pPr>
        <w:pStyle w:val="ListParagraph"/>
        <w:numPr>
          <w:ilvl w:val="0"/>
          <w:numId w:val="2"/>
        </w:numPr>
        <w:jc w:val="both"/>
        <w:rPr>
          <w:color w:val="FF0000"/>
        </w:rPr>
      </w:pPr>
      <w:r w:rsidRPr="001B7F1C">
        <w:rPr>
          <w:color w:val="FF0000"/>
        </w:rPr>
        <w:t>Reload</w:t>
      </w:r>
    </w:p>
    <w:p w14:paraId="770EF6F1" w14:textId="7C05A49C" w:rsidR="00392EE9" w:rsidRDefault="00392EE9" w:rsidP="008E1311">
      <w:pPr>
        <w:pStyle w:val="ListParagraph"/>
        <w:numPr>
          <w:ilvl w:val="0"/>
          <w:numId w:val="2"/>
        </w:numPr>
        <w:jc w:val="both"/>
        <w:rPr>
          <w:color w:val="FF0000"/>
        </w:rPr>
      </w:pPr>
      <w:r>
        <w:rPr>
          <w:color w:val="FF0000"/>
        </w:rPr>
        <w:t>Shift &amp; Action</w:t>
      </w:r>
    </w:p>
    <w:p w14:paraId="7F88F83E" w14:textId="03B32F8F" w:rsidR="00392EE9" w:rsidRDefault="00392EE9" w:rsidP="008E1311">
      <w:pPr>
        <w:pStyle w:val="ListParagraph"/>
        <w:numPr>
          <w:ilvl w:val="0"/>
          <w:numId w:val="2"/>
        </w:numPr>
        <w:jc w:val="both"/>
        <w:rPr>
          <w:color w:val="FF0000"/>
        </w:rPr>
      </w:pPr>
      <w:r>
        <w:rPr>
          <w:color w:val="FF0000"/>
        </w:rPr>
        <w:t>Shift Twice</w:t>
      </w:r>
    </w:p>
    <w:p w14:paraId="676BD6AE" w14:textId="39CDA609" w:rsidR="00B933BE" w:rsidRPr="00B933BE" w:rsidRDefault="00B933BE" w:rsidP="00B933BE">
      <w:pPr>
        <w:pStyle w:val="Subtitle"/>
      </w:pPr>
      <w:r>
        <w:t>Shift &amp; Action:</w:t>
      </w:r>
    </w:p>
    <w:p w14:paraId="0FEAF5A5" w14:textId="34ED70E3" w:rsidR="00263E99" w:rsidRDefault="00B933BE" w:rsidP="00B933BE">
      <w:pPr>
        <w:jc w:val="both"/>
      </w:pPr>
      <w:r>
        <w:t>When you perform this action, do not discard the action die you just used. Instead, decrease it by 1 (down to a minimum of 1) and use it to perform another standard action (it cannot be “Shift &amp; Action” or “Shift Twice”).</w:t>
      </w:r>
    </w:p>
    <w:p w14:paraId="1410938D" w14:textId="180901AD" w:rsidR="00B933BE" w:rsidRDefault="00B933BE" w:rsidP="00B933BE">
      <w:pPr>
        <w:jc w:val="both"/>
      </w:pPr>
      <w:r>
        <w:t>Immediately before or after that action, you may move a distance up to your natural reach without exposing yourself.</w:t>
      </w:r>
    </w:p>
    <w:p w14:paraId="2C920DBC" w14:textId="685ED80C" w:rsidR="00B933BE" w:rsidRDefault="00B933BE" w:rsidP="00400D2A">
      <w:pPr>
        <w:pStyle w:val="Subtitle"/>
      </w:pPr>
      <w:r>
        <w:t>Shift Twice:</w:t>
      </w:r>
    </w:p>
    <w:p w14:paraId="78F74E73" w14:textId="5B71A870" w:rsidR="00263E99" w:rsidRDefault="00400D2A" w:rsidP="00400D2A">
      <w:pPr>
        <w:jc w:val="both"/>
      </w:pPr>
      <w:r>
        <w:t>Move a distance up to twice your natural reach without exposing yourself.</w:t>
      </w:r>
    </w:p>
    <w:p w14:paraId="689A6A30" w14:textId="6EBC1BE1" w:rsidR="004D1B5C" w:rsidRDefault="004D1B5C" w:rsidP="004D1B5C">
      <w:pPr>
        <w:pStyle w:val="Title"/>
      </w:pPr>
      <w:r>
        <w:br w:type="column"/>
      </w:r>
      <w:r>
        <w:t>Defending:</w:t>
      </w:r>
    </w:p>
    <w:p w14:paraId="30151BCD" w14:textId="39312C9F" w:rsidR="004D1B5C" w:rsidRDefault="004D1B5C" w:rsidP="004D1B5C">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E89997E" w14:textId="2848D2B3" w:rsidR="001B3EA3" w:rsidRDefault="001B3EA3" w:rsidP="004D1B5C">
      <w:pPr>
        <w:jc w:val="both"/>
      </w:pPr>
      <w:r>
        <w:t>Remember that everyone has a secondary stat called “Passive Defence Score”, which is usually equal to their Reaction modifier.</w:t>
      </w:r>
    </w:p>
    <w:p w14:paraId="0CC7D381" w14:textId="2A81043E" w:rsidR="001B3EA3" w:rsidRDefault="001B3EA3" w:rsidP="001B3EA3">
      <w:pPr>
        <w:pStyle w:val="Subtitle"/>
      </w:pPr>
      <w:r>
        <w:t>Passive Defence:</w:t>
      </w:r>
    </w:p>
    <w:p w14:paraId="328C99A3" w14:textId="49971480" w:rsidR="001B3EA3" w:rsidRDefault="001B3EA3" w:rsidP="001B3EA3">
      <w:pPr>
        <w:jc w:val="both"/>
      </w:pPr>
      <w:r>
        <w:t xml:space="preserve">Passive Defence is a Free Action, meaning that it does not consume Action Dice. The defender rolls </w:t>
      </w:r>
      <w:proofErr w:type="gramStart"/>
      <w:r>
        <w:t>a number of</w:t>
      </w:r>
      <w:proofErr w:type="gramEnd"/>
      <w:r>
        <w:t xml:space="preserve"> 6-sided dice equal to their Passive Defence Score and counts successes (4+). This is </w:t>
      </w:r>
      <w:r w:rsidRPr="001B3EA3">
        <w:rPr>
          <w:b/>
        </w:rPr>
        <w:t>not</w:t>
      </w:r>
      <w:r>
        <w:t xml:space="preserve"> a Skill Test, so the use of </w:t>
      </w:r>
      <w:proofErr w:type="spellStart"/>
      <w:r>
        <w:t>FoRKs</w:t>
      </w:r>
      <w:proofErr w:type="spellEnd"/>
      <w:r>
        <w:t>, Vestiges, Effort and other supplementary mechanics is not allowed.</w:t>
      </w:r>
    </w:p>
    <w:p w14:paraId="6F47AF60" w14:textId="4F135C2F" w:rsidR="001B3EA3" w:rsidRDefault="001B3EA3" w:rsidP="001B3EA3">
      <w:pPr>
        <w:pStyle w:val="Subtitle"/>
      </w:pPr>
      <w:r>
        <w:t>Active Defence:</w:t>
      </w:r>
    </w:p>
    <w:p w14:paraId="60F40C13" w14:textId="621B076F" w:rsidR="001B3EA3" w:rsidRPr="001B3EA3" w:rsidRDefault="001B3EA3" w:rsidP="001B3EA3">
      <w:pPr>
        <w:jc w:val="both"/>
      </w:pPr>
      <w:r>
        <w:t xml:space="preserve">In the following section, “Reactive Action Options”, there are </w:t>
      </w:r>
      <w:r w:rsidR="00AE290A">
        <w:t>7</w:t>
      </w:r>
      <w:r>
        <w:t xml:space="preserve"> actions tagged “Active Defence”. They are: Block,</w:t>
      </w:r>
      <w:r w:rsidR="00AE290A">
        <w:t xml:space="preserve"> Block (Unarmed)</w:t>
      </w:r>
      <w:r>
        <w:t xml:space="preserve"> Dodge, Dive, Fancy Footwork, Parry and Stand Fast.</w:t>
      </w:r>
    </w:p>
    <w:p w14:paraId="3257AD26" w14:textId="2FAC5921" w:rsidR="004D1B5C" w:rsidRDefault="001B3EA3" w:rsidP="00195BAC">
      <w:pPr>
        <w:jc w:val="both"/>
      </w:pPr>
      <w:r>
        <w:t>Each of them has a Key Skill, which is tested</w:t>
      </w:r>
      <w:r w:rsidR="00195BAC">
        <w:t xml:space="preserve">, along with bonus dice rolled equal to the defender’s Passive Defence Score, and the total number of successes is then compared to the attack roll. Since this </w:t>
      </w:r>
      <w:r w:rsidR="00195BAC" w:rsidRPr="00195BAC">
        <w:rPr>
          <w:b/>
        </w:rPr>
        <w:t>is</w:t>
      </w:r>
      <w:r w:rsidR="00195BAC">
        <w:t xml:space="preserve"> a Skill Test, the defender can now use </w:t>
      </w:r>
      <w:proofErr w:type="spellStart"/>
      <w:r w:rsidR="00195BAC">
        <w:t>FoRKs</w:t>
      </w:r>
      <w:proofErr w:type="spellEnd"/>
      <w:r w:rsidR="00195BAC">
        <w:t>, Effort and other helping mechanics.</w:t>
      </w:r>
    </w:p>
    <w:p w14:paraId="01E40256" w14:textId="396D26FE" w:rsidR="00195BAC" w:rsidRDefault="00195BAC" w:rsidP="00195BAC">
      <w:pPr>
        <w:jc w:val="both"/>
      </w:pPr>
      <w:r>
        <w:t xml:space="preserve">Each of these </w:t>
      </w:r>
      <w:r w:rsidR="009E1DCD">
        <w:t>7</w:t>
      </w:r>
      <w:r>
        <w:t xml:space="preserve"> actions has certain benefits and drawbacks specific to them. However, being Reactive Actions, they each cost an Action Die to use.</w:t>
      </w:r>
    </w:p>
    <w:p w14:paraId="3ED44A2E" w14:textId="14A1EA81" w:rsidR="0010797A" w:rsidRDefault="0010797A" w:rsidP="0010797A">
      <w:pPr>
        <w:pStyle w:val="Heading3"/>
      </w:pPr>
      <w:r>
        <w:t>Advancement:</w:t>
      </w:r>
    </w:p>
    <w:p w14:paraId="22AE0FE3" w14:textId="0A369EBE" w:rsidR="0010797A" w:rsidRDefault="0010797A" w:rsidP="00195BAC">
      <w:pPr>
        <w:jc w:val="both"/>
      </w:pPr>
      <w:r>
        <w:t xml:space="preserve">When rolling any Skill as Active Defence, the DC is the total number of successes generated by the attacker. Counts the extra dice from your Passive Defence Score towards the number of </w:t>
      </w:r>
      <w:proofErr w:type="gramStart"/>
      <w:r>
        <w:t>dice</w:t>
      </w:r>
      <w:proofErr w:type="gramEnd"/>
      <w:r>
        <w:t xml:space="preserve"> you rolled.</w:t>
      </w:r>
    </w:p>
    <w:p w14:paraId="6C74A348" w14:textId="06B4BF0A" w:rsidR="0010797A" w:rsidRDefault="0010797A" w:rsidP="0010797A">
      <w:pPr>
        <w:pStyle w:val="Subtitle"/>
      </w:pPr>
      <w:r>
        <w:t>Unaware Defender:</w:t>
      </w:r>
    </w:p>
    <w:p w14:paraId="5F118EC4" w14:textId="783AB899" w:rsidR="0010797A" w:rsidRPr="0010797A" w:rsidRDefault="0010797A" w:rsidP="0010797A">
      <w:pPr>
        <w:jc w:val="both"/>
      </w:pPr>
      <w:r>
        <w:t xml:space="preserve">A character who is unaware of their attacker can’t use Active Defence. They may use Passive </w:t>
      </w:r>
      <w:proofErr w:type="gramStart"/>
      <w:r>
        <w:t>Defence, but</w:t>
      </w:r>
      <w:proofErr w:type="gramEnd"/>
      <w:r>
        <w:t xml:space="preserve"> must re-roll all successes they got on their initial roll.</w:t>
      </w:r>
    </w:p>
    <w:p w14:paraId="2FC3DDC3" w14:textId="2EEE0EDF" w:rsidR="00263E99" w:rsidRPr="00263E99" w:rsidRDefault="00263E99" w:rsidP="00263E99">
      <w:pPr>
        <w:pStyle w:val="Title"/>
      </w:pPr>
      <w:r>
        <w:br w:type="column"/>
      </w:r>
      <w:r w:rsidR="00521A0B">
        <w:lastRenderedPageBreak/>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73C30AB" w:rsidR="00A41D87" w:rsidRDefault="00A41D87" w:rsidP="00A41D87">
      <w:r w:rsidRPr="00A41D87">
        <w:rPr>
          <w:b/>
        </w:rPr>
        <w:t>Key Skill:</w:t>
      </w:r>
      <w:r>
        <w:t xml:space="preserve"> Melee</w:t>
      </w:r>
    </w:p>
    <w:p w14:paraId="0893010C" w14:textId="7F3ABACA" w:rsidR="00AE290A" w:rsidRDefault="00AE290A" w:rsidP="00AE290A">
      <w:pPr>
        <w:jc w:val="both"/>
      </w:pPr>
      <w:r>
        <w:t>Attempt to stop the attack with a shield, weapon</w:t>
      </w:r>
      <w:r w:rsidR="003640CF">
        <w:t>,</w:t>
      </w:r>
      <w:r>
        <w:t xml:space="preserve"> or other object you happen to be holding.</w:t>
      </w:r>
    </w:p>
    <w:p w14:paraId="09A761D5" w14:textId="231B6C95" w:rsidR="00AE290A" w:rsidRDefault="00AE290A" w:rsidP="00AE290A">
      <w:pPr>
        <w:jc w:val="both"/>
      </w:pPr>
      <w:r>
        <w:t xml:space="preserve">To block, you need to know the Block Value (BV) and Damage Reduction (DR) of the item you’re blocking with. </w:t>
      </w:r>
      <w:r w:rsidR="003640CF">
        <w:t xml:space="preserve">You can find out both in the </w:t>
      </w:r>
      <w:r w:rsidR="003640CF" w:rsidRPr="003640CF">
        <w:rPr>
          <w:color w:val="FF0000"/>
        </w:rPr>
        <w:t xml:space="preserve">Equipment </w:t>
      </w:r>
      <w:r w:rsidR="003640CF">
        <w:t>chapter.</w:t>
      </w:r>
    </w:p>
    <w:p w14:paraId="6E2165FF" w14:textId="56F3C6F4" w:rsidR="003640CF" w:rsidRDefault="00F6469D" w:rsidP="00AE290A">
      <w:pPr>
        <w:jc w:val="both"/>
      </w:pPr>
      <w:r>
        <w:t>If your Block roll generates fewer successes than the attack roll, but still enough that the difference between the two is equal to or less than the item’s BV, you’re still considered to have blocked successfully.</w:t>
      </w:r>
    </w:p>
    <w:p w14:paraId="6B4758F7" w14:textId="5202E6A2" w:rsidR="0010797A" w:rsidRDefault="00F6469D" w:rsidP="00F6469D">
      <w:pPr>
        <w:jc w:val="both"/>
      </w:pPr>
      <w:r>
        <w:t>On a successful block, subtract the item’s DR from the damage dealt (if any). You take the rest as Concussive Damage, disregarding any armour you might be wearing.</w:t>
      </w:r>
    </w:p>
    <w:p w14:paraId="0A938CBD" w14:textId="77777777" w:rsidR="00AE290A" w:rsidRDefault="00AE290A" w:rsidP="00AE290A">
      <w:pPr>
        <w:pStyle w:val="Subtitle"/>
      </w:pPr>
      <w:r>
        <w:t>Active Defence – Block (Unarmed):</w:t>
      </w:r>
    </w:p>
    <w:p w14:paraId="598ADF4A" w14:textId="77777777" w:rsidR="00AE290A" w:rsidRDefault="00AE290A" w:rsidP="00AE290A">
      <w:r w:rsidRPr="009E1DCD">
        <w:rPr>
          <w:b/>
        </w:rPr>
        <w:t>Key Skill:</w:t>
      </w:r>
      <w:r>
        <w:t xml:space="preserve"> Unarmed</w:t>
      </w:r>
    </w:p>
    <w:p w14:paraId="3F3FB871" w14:textId="10645C91" w:rsidR="00AE290A" w:rsidRDefault="00AE290A" w:rsidP="00AE290A">
      <w:pPr>
        <w:jc w:val="both"/>
      </w:pPr>
      <w:r>
        <w:t>Block the attack with your bare hands.</w:t>
      </w:r>
      <w:r w:rsidR="009E1DCD">
        <w:t xml:space="preserve"> </w:t>
      </w:r>
    </w:p>
    <w:p w14:paraId="2D44DFFB" w14:textId="33F659A9" w:rsidR="00F6469D" w:rsidRDefault="00F6469D" w:rsidP="00F6469D">
      <w:pPr>
        <w:jc w:val="both"/>
      </w:pPr>
      <w:r>
        <w:t>If your Block</w:t>
      </w:r>
      <w:r>
        <w:t xml:space="preserve"> (Unarmed)</w:t>
      </w:r>
      <w:r>
        <w:t xml:space="preserve"> roll generates fewer successes than the attack roll, but still enough that the difference between the two is equal to or less than </w:t>
      </w:r>
      <w:r>
        <w:t>2</w:t>
      </w:r>
      <w:r>
        <w:t>, you’re still considered to have blocked successfully.</w:t>
      </w:r>
    </w:p>
    <w:p w14:paraId="0CDA83E3" w14:textId="0363EADB" w:rsidR="00F6469D" w:rsidRDefault="00F6469D" w:rsidP="00F6469D">
      <w:pPr>
        <w:jc w:val="both"/>
      </w:pPr>
      <w:r>
        <w:t xml:space="preserve">However, everything a successful block does while you are unarmed is change the hit location to an arm of your choice. </w:t>
      </w:r>
    </w:p>
    <w:p w14:paraId="60BDC588" w14:textId="53367585" w:rsidR="008F368D" w:rsidRDefault="0010797A" w:rsidP="0010797A">
      <w:pPr>
        <w:pStyle w:val="Subtitle"/>
      </w:pPr>
      <w:r>
        <w:t xml:space="preserve">Active Defence – </w:t>
      </w:r>
      <w:r w:rsidR="00660C61">
        <w:t>D</w:t>
      </w:r>
      <w:r w:rsidR="008F368D">
        <w:t>odge</w:t>
      </w:r>
      <w:r>
        <w:t>:</w:t>
      </w:r>
    </w:p>
    <w:p w14:paraId="30F0891F" w14:textId="668ADBF0" w:rsidR="0035238F" w:rsidRDefault="0035238F" w:rsidP="0035238F">
      <w:r w:rsidRPr="0035238F">
        <w:rPr>
          <w:b/>
        </w:rPr>
        <w:t>Key Skill:</w:t>
      </w:r>
      <w:r>
        <w:t xml:space="preserve"> Reflex</w:t>
      </w:r>
    </w:p>
    <w:p w14:paraId="78246A97" w14:textId="6DDDA46B" w:rsidR="0035238F" w:rsidRDefault="0035238F" w:rsidP="0035238F">
      <w:pPr>
        <w:jc w:val="both"/>
      </w:pPr>
      <w:r>
        <w:t>Evade the attack by moving out of its way</w:t>
      </w:r>
      <w:r w:rsidR="004A6B19">
        <w:t>*</w:t>
      </w:r>
      <w:r>
        <w:t>. You must move to an adjacent location</w:t>
      </w:r>
      <w:r w:rsidR="00572362">
        <w:t>*</w:t>
      </w:r>
      <w:r w:rsidR="004A6B19">
        <w:t>*</w:t>
      </w:r>
      <w:r>
        <w:t xml:space="preserve"> (without ending up closer to your attacker than you were); otherwise you can’t use Dodge.</w:t>
      </w:r>
    </w:p>
    <w:p w14:paraId="6AF9835F" w14:textId="0E777CF6" w:rsidR="004A6B19" w:rsidRDefault="004A6B19" w:rsidP="0035238F">
      <w:pPr>
        <w:jc w:val="both"/>
      </w:pPr>
      <w:r>
        <w:t>*This move does not Expose you</w:t>
      </w:r>
      <w:r w:rsidR="00D43A47">
        <w:t>.</w:t>
      </w:r>
    </w:p>
    <w:p w14:paraId="3BAF7B49" w14:textId="5ED729EA" w:rsidR="00572362" w:rsidRDefault="004A6B19" w:rsidP="0035238F">
      <w:pPr>
        <w:jc w:val="both"/>
      </w:pPr>
      <w:r>
        <w:t>*</w:t>
      </w:r>
      <w:r w:rsidR="00572362">
        <w:t>*Maximum move = Your natural reach</w:t>
      </w:r>
      <w:r>
        <w:t>.</w:t>
      </w:r>
    </w:p>
    <w:p w14:paraId="4FA69643" w14:textId="50F9D45A" w:rsidR="0035238F" w:rsidRDefault="00723F8A" w:rsidP="0035238F">
      <w:pPr>
        <w:jc w:val="both"/>
      </w:pPr>
      <w:r w:rsidRPr="00723F8A">
        <w:rPr>
          <w:b/>
        </w:rPr>
        <w:t>Size Advantage:</w:t>
      </w:r>
      <w:r>
        <w:t xml:space="preserve"> </w:t>
      </w:r>
      <w:r w:rsidR="0035238F">
        <w:t xml:space="preserve">If the attacker is larger than you, you get </w:t>
      </w:r>
      <w:proofErr w:type="gramStart"/>
      <w:r w:rsidR="0035238F">
        <w:t>a number of</w:t>
      </w:r>
      <w:proofErr w:type="gramEnd"/>
      <w:r w:rsidR="0035238F">
        <w:t xml:space="preserve"> Advantage dice to </w:t>
      </w:r>
      <w:r w:rsidR="00572362">
        <w:t>your Dodge roll equal to the difference between your size categories.</w:t>
      </w:r>
    </w:p>
    <w:p w14:paraId="523898A6" w14:textId="6E4872BB" w:rsidR="00572362" w:rsidRDefault="0010797A" w:rsidP="00572362">
      <w:pPr>
        <w:pStyle w:val="Subtitle"/>
      </w:pPr>
      <w:r>
        <w:t xml:space="preserve">Active Defence – </w:t>
      </w:r>
      <w:r w:rsidR="00572362">
        <w:t>Dive</w:t>
      </w:r>
      <w:r>
        <w:t>:</w:t>
      </w:r>
    </w:p>
    <w:p w14:paraId="4F32B0D0" w14:textId="22D3D53E" w:rsidR="00572362" w:rsidRDefault="00572362" w:rsidP="00572362">
      <w:r w:rsidRPr="00572362">
        <w:rPr>
          <w:b/>
        </w:rPr>
        <w:t>Key Skill:</w:t>
      </w:r>
      <w:r>
        <w:t xml:space="preserve"> Acrobatics</w:t>
      </w:r>
    </w:p>
    <w:p w14:paraId="7BFC54D2" w14:textId="6A5BB420" w:rsidR="00572362" w:rsidRDefault="00572362" w:rsidP="00572362">
      <w:pPr>
        <w:jc w:val="both"/>
      </w:pPr>
      <w:r>
        <w:t>Jump and dive onto the ground. You must move</w:t>
      </w:r>
      <w:r w:rsidR="004A6B19">
        <w:t>*</w:t>
      </w:r>
      <w:r>
        <w:t xml:space="preserve"> to an adjacent location*</w:t>
      </w:r>
      <w:r w:rsidR="004A6B19">
        <w:t>*</w:t>
      </w:r>
      <w:r>
        <w:t xml:space="preserve"> (without ending up closer to your attacker than you were); otherwise you can’t use </w:t>
      </w:r>
      <w:r w:rsidR="00CD275A">
        <w:t>Dive</w:t>
      </w:r>
      <w:r>
        <w:t>.</w:t>
      </w:r>
      <w:r w:rsidR="00CA040B">
        <w:t xml:space="preserve"> When you Dive, you end up prone.</w:t>
      </w:r>
    </w:p>
    <w:p w14:paraId="01493E3C" w14:textId="05735459" w:rsidR="004A6B19" w:rsidRDefault="004A6B19" w:rsidP="00572362">
      <w:pPr>
        <w:jc w:val="both"/>
      </w:pPr>
      <w:r>
        <w:t>*This move does not Expose you</w:t>
      </w:r>
      <w:r w:rsidR="00D43A47">
        <w:t>.</w:t>
      </w:r>
    </w:p>
    <w:p w14:paraId="1A4EFD9E" w14:textId="50D036E7" w:rsidR="00572362" w:rsidRDefault="004A6B19" w:rsidP="00572362">
      <w:pPr>
        <w:jc w:val="both"/>
      </w:pPr>
      <w:r>
        <w:t>*</w:t>
      </w:r>
      <w:r w:rsidR="00572362">
        <w:t xml:space="preserve">*Maximum move = </w:t>
      </w:r>
      <w:r w:rsidR="00CA040B">
        <w:t xml:space="preserve">2 × </w:t>
      </w:r>
      <w:r w:rsidR="00572362">
        <w:t>Your natural reach</w:t>
      </w:r>
      <w:r>
        <w:t>.</w:t>
      </w:r>
    </w:p>
    <w:p w14:paraId="63645DA7" w14:textId="3AB6ABA4" w:rsidR="00572362" w:rsidRDefault="00723F8A" w:rsidP="00572362">
      <w:pPr>
        <w:jc w:val="both"/>
      </w:pPr>
      <w:r w:rsidRPr="00723F8A">
        <w:rPr>
          <w:b/>
        </w:rPr>
        <w:t>Size Advantage:</w:t>
      </w:r>
      <w:r>
        <w:t xml:space="preserve"> </w:t>
      </w:r>
      <w:r w:rsidR="00572362">
        <w:t xml:space="preserve">If the attacker is larger than you, you get </w:t>
      </w:r>
      <w:proofErr w:type="gramStart"/>
      <w:r w:rsidR="00572362">
        <w:t>a number of</w:t>
      </w:r>
      <w:proofErr w:type="gramEnd"/>
      <w:r w:rsidR="00572362">
        <w:t xml:space="preserve"> Advantage dice to your </w:t>
      </w:r>
      <w:r>
        <w:t>Dive</w:t>
      </w:r>
      <w:r w:rsidR="00572362">
        <w:t xml:space="preserve"> roll equal to the difference between your size categories.</w:t>
      </w:r>
    </w:p>
    <w:p w14:paraId="0D174ED9" w14:textId="0B79EA1D" w:rsidR="00572362" w:rsidRDefault="00CA040B" w:rsidP="0035238F">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338D4914" w:rsidR="00564BF6" w:rsidRDefault="00564BF6" w:rsidP="00564BF6">
      <w:r>
        <w:t xml:space="preserve">Perform a fancy </w:t>
      </w:r>
      <w:proofErr w:type="spellStart"/>
      <w:r>
        <w:t>maneuver</w:t>
      </w:r>
      <w:proofErr w:type="spellEnd"/>
      <w:r>
        <w:t xml:space="preserve"> to keep your balance. Can only be used against “Trip” effects.</w:t>
      </w:r>
    </w:p>
    <w:p w14:paraId="080C0AF2" w14:textId="25815A1A" w:rsidR="008F368D" w:rsidRDefault="0010797A" w:rsidP="00CE56CF">
      <w:pPr>
        <w:pStyle w:val="Subtitle"/>
      </w:pPr>
      <w:bookmarkStart w:id="0" w:name="_GoBack"/>
      <w:bookmarkEnd w:id="0"/>
      <w:r>
        <w:t xml:space="preserve">Active Defence – </w:t>
      </w:r>
      <w:r w:rsidR="008F368D">
        <w:t>Parry</w:t>
      </w:r>
      <w:r>
        <w:t>:</w:t>
      </w:r>
    </w:p>
    <w:p w14:paraId="395DE169" w14:textId="7BCCAD42" w:rsidR="00CE56CF" w:rsidRDefault="00CE56CF" w:rsidP="00CE56CF">
      <w:r w:rsidRPr="00CE56CF">
        <w:rPr>
          <w:b/>
        </w:rPr>
        <w:t>Key Skill:</w:t>
      </w:r>
      <w:r>
        <w:t xml:space="preserve"> Melee or Unarmed</w:t>
      </w:r>
    </w:p>
    <w:p w14:paraId="6CA47772" w14:textId="0CC5A05E" w:rsidR="00CE56CF" w:rsidRDefault="00CE56CF" w:rsidP="00CE56CF">
      <w:pPr>
        <w:jc w:val="both"/>
      </w:pPr>
      <w:r>
        <w:t xml:space="preserve">The most aggressive defensive option that’s almost like an </w:t>
      </w:r>
      <w:proofErr w:type="gramStart"/>
      <w:r>
        <w:t>attack in its own right</w:t>
      </w:r>
      <w:proofErr w:type="gramEnd"/>
      <w:r>
        <w:t xml:space="preserve">. Roll the appropriate key skill as if you were making an attack against your opponent. Your passive defence score </w:t>
      </w:r>
      <w:proofErr w:type="gramStart"/>
      <w:r>
        <w:t>is considered to be</w:t>
      </w:r>
      <w:proofErr w:type="gramEnd"/>
      <w:r>
        <w:t xml:space="preserve"> zero for purposes of this defensive action; only the total number of generated successes </w:t>
      </w:r>
      <w:r w:rsidR="002C125B">
        <w:t>is taken as your total defence score.</w:t>
      </w:r>
    </w:p>
    <w:p w14:paraId="14A5FB4F" w14:textId="6FD5D599"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3DD1DE8" w:rsidR="002C125B" w:rsidRPr="002C125B" w:rsidRDefault="002C125B" w:rsidP="00CE56CF">
      <w:pPr>
        <w:jc w:val="both"/>
        <w:rPr>
          <w:color w:val="FF0000"/>
        </w:rPr>
      </w:pPr>
      <w:r w:rsidRPr="002C125B">
        <w:rPr>
          <w:color w:val="FF0000"/>
        </w:rPr>
        <w:t>&lt;Modifiers for weapon/creature size&gt;</w:t>
      </w:r>
    </w:p>
    <w:p w14:paraId="0BFE404C" w14:textId="6E6A5F99" w:rsidR="008F368D" w:rsidRDefault="0010797A" w:rsidP="002C125B">
      <w:pPr>
        <w:pStyle w:val="Subtitle"/>
      </w:pPr>
      <w:r>
        <w:lastRenderedPageBreak/>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279DFBD5" w14:textId="1CBCDB07" w:rsidR="00CD275A" w:rsidRPr="00CD275A" w:rsidRDefault="00CD275A" w:rsidP="002C125B">
      <w:pPr>
        <w:jc w:val="both"/>
        <w:rPr>
          <w:color w:val="FF0000"/>
        </w:rPr>
      </w:pPr>
      <w:r w:rsidRPr="002C125B">
        <w:rPr>
          <w:color w:val="FF0000"/>
        </w:rPr>
        <w:t>&lt;Modifiers for creature size&gt;</w:t>
      </w:r>
    </w:p>
    <w:p w14:paraId="0197BD33" w14:textId="0FB03B7F" w:rsidR="00521A0B" w:rsidRDefault="002C125B" w:rsidP="0010797A">
      <w:r>
        <w:t>This form of defence can only be used against “Bull Rush”, “Knock Back”, “Disarm” and “</w:t>
      </w:r>
      <w:r w:rsidR="00564BF6">
        <w:t>Trip</w:t>
      </w:r>
      <w:r>
        <w:t>” effects.</w:t>
      </w:r>
    </w:p>
    <w:p w14:paraId="1F6E62C9" w14:textId="77777777" w:rsidR="0010797A" w:rsidRDefault="0010797A" w:rsidP="0010797A">
      <w:pPr>
        <w:pStyle w:val="Subtitle"/>
      </w:pPr>
      <w:r>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7777777" w:rsidR="0010797A" w:rsidRPr="00D771B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76E73879" w14:textId="77777777" w:rsidR="0010797A" w:rsidRPr="0010797A" w:rsidRDefault="0010797A" w:rsidP="0010797A"/>
    <w:p w14:paraId="410219D7" w14:textId="34DBCEAC" w:rsidR="00521A0B" w:rsidRDefault="00521A0B" w:rsidP="00521A0B">
      <w:pPr>
        <w:pStyle w:val="Title"/>
      </w:pPr>
      <w:r>
        <w:br w:type="column"/>
      </w:r>
      <w:r>
        <w:t>Special Effects</w:t>
      </w:r>
      <w:r w:rsidR="00A41D87">
        <w:t xml:space="preserve"> (Offence)</w:t>
      </w:r>
      <w:r>
        <w:t>:</w:t>
      </w:r>
    </w:p>
    <w:p w14:paraId="7F5CA6EF" w14:textId="17233A33" w:rsidR="00503DCA" w:rsidRDefault="00A41D87" w:rsidP="00A41D87">
      <w:r>
        <w:t>This section lists special effects on which you can allocate any extra successes after an attack roll.</w:t>
      </w:r>
    </w:p>
    <w:p w14:paraId="500EBF3D" w14:textId="5AF40DD6" w:rsidR="00660C61" w:rsidRPr="00660C61" w:rsidRDefault="00660C61" w:rsidP="008E1311">
      <w:pPr>
        <w:pStyle w:val="ListParagraph"/>
        <w:numPr>
          <w:ilvl w:val="0"/>
          <w:numId w:val="2"/>
        </w:numPr>
        <w:rPr>
          <w:color w:val="FF0000"/>
        </w:rPr>
      </w:pPr>
      <w:r>
        <w:rPr>
          <w:color w:val="FF0000"/>
        </w:rPr>
        <w:t>Grapple</w:t>
      </w:r>
    </w:p>
    <w:p w14:paraId="372C1B0E" w14:textId="6E1038B7" w:rsidR="00521A0B" w:rsidRDefault="00983985" w:rsidP="00983985">
      <w:pPr>
        <w:pStyle w:val="Subtitle"/>
      </w:pPr>
      <w:r>
        <w:t>Choose Hit Location:</w:t>
      </w:r>
    </w:p>
    <w:p w14:paraId="571A48D4" w14:textId="5BDB72E8" w:rsidR="00983985" w:rsidRDefault="009D3C09" w:rsidP="00983985">
      <w:pPr>
        <w:jc w:val="both"/>
      </w:pPr>
      <w:r>
        <w:t xml:space="preserve">Move the location of the hit from the default one to another body part. It costs 1 allocated success if the locations are adjacent, and 2 otherwise. </w:t>
      </w:r>
      <w:r w:rsidRPr="009D3C09">
        <w:t>Increase the cost by 1 if the new location is difficult to get to (such as targeting the right arm or leg while attacking from the left side). You cannot move the hit to a location you can't reach.</w:t>
      </w:r>
    </w:p>
    <w:p w14:paraId="0CD405A7" w14:textId="23DDE936" w:rsidR="009D3C09" w:rsidRPr="00A41D87" w:rsidRDefault="009D3C09" w:rsidP="009D3C09">
      <w:pPr>
        <w:spacing w:after="120"/>
        <w:jc w:val="both"/>
      </w:pPr>
      <w:r w:rsidRPr="00A41D87">
        <w:t>For humanoids:</w:t>
      </w:r>
    </w:p>
    <w:p w14:paraId="13487A96" w14:textId="0B6533A6" w:rsidR="009D3C09" w:rsidRDefault="009D3C09" w:rsidP="008E1311">
      <w:pPr>
        <w:pStyle w:val="ListParagraph"/>
        <w:numPr>
          <w:ilvl w:val="0"/>
          <w:numId w:val="3"/>
        </w:numPr>
        <w:spacing w:after="120"/>
        <w:ind w:left="426" w:hanging="284"/>
        <w:contextualSpacing w:val="0"/>
        <w:jc w:val="both"/>
      </w:pPr>
      <w:r>
        <w:t>The torso is adjacent to all other locations.</w:t>
      </w:r>
    </w:p>
    <w:p w14:paraId="447B2FD6" w14:textId="6BFAE865" w:rsidR="009D3C09" w:rsidRDefault="009D3C09" w:rsidP="008E1311">
      <w:pPr>
        <w:pStyle w:val="ListParagraph"/>
        <w:numPr>
          <w:ilvl w:val="0"/>
          <w:numId w:val="3"/>
        </w:numPr>
        <w:ind w:left="426" w:hanging="284"/>
        <w:jc w:val="both"/>
      </w:pPr>
      <w:r>
        <w:t>An arm is adjacent to the torso, the head, and the leg on the same side of the body.</w:t>
      </w:r>
    </w:p>
    <w:p w14:paraId="45F97A67" w14:textId="3B52EAF6" w:rsidR="009D3C09" w:rsidRPr="00A41D87" w:rsidRDefault="009D3C09" w:rsidP="00A41D87">
      <w:pPr>
        <w:spacing w:after="120"/>
        <w:jc w:val="both"/>
      </w:pPr>
      <w:r w:rsidRPr="00A41D87">
        <w:t>For non-humanoids</w:t>
      </w:r>
      <w:r w:rsidR="00A41D87" w:rsidRPr="00A41D87">
        <w:t xml:space="preserve">, </w:t>
      </w:r>
      <w:r w:rsidR="00A41D87">
        <w:t>practice</w:t>
      </w:r>
      <w:r w:rsidR="00A41D87" w:rsidRPr="00A41D87">
        <w:t xml:space="preserve"> common sense.</w:t>
      </w:r>
    </w:p>
    <w:p w14:paraId="1CD54EE8" w14:textId="16005D12" w:rsidR="00983985" w:rsidRDefault="00983985" w:rsidP="00983985">
      <w:pPr>
        <w:pStyle w:val="Subtitle"/>
      </w:pPr>
      <w:r>
        <w:t>Compel Surrender:</w:t>
      </w:r>
      <w:r w:rsidR="00EB339F">
        <w:t xml:space="preserve"> -&gt; </w:t>
      </w:r>
      <w:r w:rsidR="00EB339F" w:rsidRPr="00EB339F">
        <w:rPr>
          <w:color w:val="FF0000"/>
        </w:rPr>
        <w:t>Standard Action?</w:t>
      </w:r>
    </w:p>
    <w:p w14:paraId="0E5D7AC6" w14:textId="50145080" w:rsidR="00EB339F" w:rsidRDefault="00A83C58" w:rsidP="00EB339F">
      <w:pPr>
        <w:jc w:val="both"/>
      </w:pPr>
      <w:r>
        <w:rPr>
          <w:color w:val="FF0000"/>
        </w:rPr>
        <w:t>&lt;</w:t>
      </w:r>
      <w:proofErr w:type="spellStart"/>
      <w:r>
        <w:rPr>
          <w:color w:val="FF0000"/>
        </w:rPr>
        <w:t>Mythras</w:t>
      </w:r>
      <w:proofErr w:type="spellEnd"/>
      <w:r>
        <w:rPr>
          <w:color w:val="FF0000"/>
        </w:rPr>
        <w:t xml:space="preserve">&gt; </w:t>
      </w:r>
      <w:r w:rsidR="00503DCA" w:rsidRPr="00A83C58">
        <w:t xml:space="preserve">Allows the character a chance to force the surrender of a helpless or disadvantaged opponent; for </w:t>
      </w:r>
      <w:proofErr w:type="gramStart"/>
      <w:r w:rsidR="00503DCA" w:rsidRPr="00A83C58">
        <w:t>example</w:t>
      </w:r>
      <w:proofErr w:type="gramEnd"/>
      <w:r w:rsidR="00503DCA" w:rsidRPr="00A83C58">
        <w:t xml:space="preserve"> someone who has been disarmed, is lying prone unable to regain his footing, has suffered a serious (or worse) wound, and so on. Damage is not inflicted on the </w:t>
      </w:r>
      <w:proofErr w:type="gramStart"/>
      <w:r w:rsidR="00503DCA" w:rsidRPr="00A83C58">
        <w:t>target,</w:t>
      </w:r>
      <w:proofErr w:type="gramEnd"/>
      <w:r w:rsidR="00503DCA" w:rsidRPr="00A83C58">
        <w:t xml:space="preserve"> they are only threatened.</w:t>
      </w:r>
    </w:p>
    <w:p w14:paraId="14457221" w14:textId="730AFFB4" w:rsidR="00EB339F" w:rsidRDefault="00503DCA" w:rsidP="00EB339F">
      <w:pPr>
        <w:jc w:val="both"/>
      </w:pPr>
      <w:r w:rsidRPr="00A83C58">
        <w:t>Assuming the target is sapient and able to understand the demand,</w:t>
      </w:r>
      <w:r w:rsidR="00A83C58" w:rsidRPr="00A83C58">
        <w:t xml:space="preserve"> </w:t>
      </w:r>
      <w:r w:rsidR="00EB339F">
        <w:t>they</w:t>
      </w:r>
      <w:r w:rsidR="0086273C">
        <w:t xml:space="preserve"> must test their Composure against the </w:t>
      </w:r>
      <w:r w:rsidR="00EB339F">
        <w:t xml:space="preserve">total number of successes allocated to this effect. </w:t>
      </w:r>
      <w:r w:rsidRPr="0086273C">
        <w:t xml:space="preserve">If the target fails, they capitulate. </w:t>
      </w:r>
    </w:p>
    <w:p w14:paraId="305CBCE0" w14:textId="0800A417" w:rsidR="00983985" w:rsidRDefault="00503DCA" w:rsidP="00EB339F">
      <w:pPr>
        <w:jc w:val="both"/>
        <w:rPr>
          <w:color w:val="FF0000"/>
        </w:rPr>
      </w:pPr>
      <w:r w:rsidRPr="0086273C">
        <w:t>Games Masters may wish to reserve Compel Surrender for use against non-player characters only.</w:t>
      </w:r>
      <w:r w:rsidR="0086273C" w:rsidRPr="0086273C">
        <w:t xml:space="preserve"> </w:t>
      </w:r>
      <w:r w:rsidR="0086273C">
        <w:rPr>
          <w:color w:val="FF0000"/>
        </w:rPr>
        <w:t>&lt;/</w:t>
      </w:r>
      <w:proofErr w:type="spellStart"/>
      <w:r w:rsidR="0086273C">
        <w:rPr>
          <w:color w:val="FF0000"/>
        </w:rPr>
        <w:t>Mythras</w:t>
      </w:r>
      <w:proofErr w:type="spellEnd"/>
      <w:r w:rsidR="0086273C">
        <w:rPr>
          <w:color w:val="FF0000"/>
        </w:rPr>
        <w:t>&gt;</w:t>
      </w:r>
    </w:p>
    <w:p w14:paraId="1BA3B809" w14:textId="3AE220CE" w:rsidR="00EB339F" w:rsidRDefault="00EB339F" w:rsidP="00EB339F">
      <w:pPr>
        <w:jc w:val="both"/>
      </w:pPr>
      <w:r w:rsidRPr="00EB339F">
        <w:rPr>
          <w:b/>
        </w:rPr>
        <w:t>Requires:</w:t>
      </w:r>
      <w:r w:rsidRPr="00EB339F">
        <w:t xml:space="preserve"> Target within melee reach</w:t>
      </w:r>
    </w:p>
    <w:p w14:paraId="10115A40" w14:textId="14DB8C6E" w:rsidR="00EB339F" w:rsidRPr="00EB339F" w:rsidRDefault="00EB339F" w:rsidP="00EB339F">
      <w:pPr>
        <w:jc w:val="both"/>
        <w:rPr>
          <w:b/>
        </w:rPr>
      </w:pPr>
      <w:r w:rsidRPr="00EB339F">
        <w:rPr>
          <w:b/>
        </w:rPr>
        <w:t>Incompatible with other special effects</w:t>
      </w:r>
      <w:r w:rsidR="008F368D">
        <w:rPr>
          <w:b/>
        </w:rPr>
        <w:t>.</w:t>
      </w:r>
    </w:p>
    <w:p w14:paraId="0EC954B0" w14:textId="36611245" w:rsidR="00983985" w:rsidRDefault="00EB339F" w:rsidP="00983985">
      <w:pPr>
        <w:pStyle w:val="Subtitle"/>
      </w:pPr>
      <w:r>
        <w:br w:type="column"/>
      </w:r>
      <w:r w:rsidR="00983985">
        <w:lastRenderedPageBreak/>
        <w:t>Disarm Opponent:</w:t>
      </w:r>
    </w:p>
    <w:p w14:paraId="0BA25671" w14:textId="283D3900" w:rsidR="008F368D" w:rsidRPr="008F368D" w:rsidRDefault="00503DCA" w:rsidP="00503DCA">
      <w:pPr>
        <w:jc w:val="both"/>
      </w:pPr>
      <w:r w:rsidRPr="008F368D">
        <w:t>You can allocate 2 successes towards disarming a target instead of dealing damage (they drop their</w:t>
      </w:r>
      <w:r w:rsidR="00EB339F" w:rsidRPr="008F368D">
        <w:t xml:space="preserve"> currently equipped</w:t>
      </w:r>
      <w:r w:rsidRPr="008F368D">
        <w:t xml:space="preserve"> weapon). You must have hit </w:t>
      </w:r>
      <w:r w:rsidR="008F368D">
        <w:t xml:space="preserve">one of </w:t>
      </w:r>
      <w:r w:rsidRPr="008F368D">
        <w:t xml:space="preserve">the </w:t>
      </w:r>
      <w:r w:rsidR="008F368D" w:rsidRPr="008F368D">
        <w:t xml:space="preserve">holding </w:t>
      </w:r>
      <w:r w:rsidR="008F368D">
        <w:t>arm</w:t>
      </w:r>
      <w:r w:rsidR="008F368D" w:rsidRPr="008F368D">
        <w:t>s</w:t>
      </w:r>
      <w:r w:rsidRPr="008F368D">
        <w:t xml:space="preserve"> in order to do this. </w:t>
      </w:r>
    </w:p>
    <w:p w14:paraId="0057930E" w14:textId="77777777" w:rsidR="008F368D" w:rsidRPr="008F368D" w:rsidRDefault="00503DCA" w:rsidP="008F368D">
      <w:pPr>
        <w:spacing w:after="80"/>
        <w:jc w:val="both"/>
      </w:pPr>
      <w:r w:rsidRPr="008F368D">
        <w:t xml:space="preserve">Increase cost by 1 if: </w:t>
      </w:r>
    </w:p>
    <w:p w14:paraId="66CA815C" w14:textId="01500A54" w:rsidR="008F368D" w:rsidRPr="008F368D" w:rsidRDefault="00503DCA" w:rsidP="008E1311">
      <w:pPr>
        <w:pStyle w:val="ListParagraph"/>
        <w:numPr>
          <w:ilvl w:val="0"/>
          <w:numId w:val="4"/>
        </w:numPr>
        <w:spacing w:after="80"/>
        <w:ind w:left="426" w:hanging="284"/>
        <w:contextualSpacing w:val="0"/>
        <w:jc w:val="both"/>
      </w:pPr>
      <w:r w:rsidRPr="008F368D">
        <w:t>You don't hold an appropriate weapon for disarming (one with a hook or a chain);</w:t>
      </w:r>
    </w:p>
    <w:p w14:paraId="5E82ACE1" w14:textId="76A8DCA1" w:rsidR="008F368D" w:rsidRPr="008F368D" w:rsidRDefault="00503DCA" w:rsidP="008E1311">
      <w:pPr>
        <w:pStyle w:val="ListParagraph"/>
        <w:numPr>
          <w:ilvl w:val="0"/>
          <w:numId w:val="4"/>
        </w:numPr>
        <w:spacing w:after="80"/>
        <w:ind w:left="426" w:hanging="284"/>
        <w:contextualSpacing w:val="0"/>
        <w:jc w:val="both"/>
      </w:pPr>
      <w:r w:rsidRPr="008F368D">
        <w:t>The defender is holding the weapon with 2 hands;</w:t>
      </w:r>
    </w:p>
    <w:p w14:paraId="665A301F" w14:textId="01D18908" w:rsidR="00503DCA" w:rsidRPr="008F368D" w:rsidRDefault="00503DCA" w:rsidP="008E1311">
      <w:pPr>
        <w:pStyle w:val="ListParagraph"/>
        <w:numPr>
          <w:ilvl w:val="0"/>
          <w:numId w:val="4"/>
        </w:numPr>
        <w:ind w:left="426" w:hanging="284"/>
        <w:jc w:val="both"/>
      </w:pPr>
      <w:r w:rsidRPr="008F368D">
        <w:t>You want to end up holding their weapon instead of dropping it.</w:t>
      </w:r>
    </w:p>
    <w:p w14:paraId="7BB514C2" w14:textId="5BB02904" w:rsidR="00EB339F" w:rsidRDefault="00EB339F" w:rsidP="00503DCA">
      <w:pPr>
        <w:jc w:val="both"/>
      </w:pPr>
      <w:r>
        <w:t>The use of this special effect must be announced before the target performs any reactive actions to defend against the attack</w:t>
      </w:r>
      <w:r w:rsidR="008F368D">
        <w:t>, and it allows them to defend with the “Stand Fast” reactive action.</w:t>
      </w:r>
    </w:p>
    <w:p w14:paraId="210562D8" w14:textId="7EA84B5C" w:rsidR="008F368D" w:rsidRPr="008F368D" w:rsidRDefault="008F368D" w:rsidP="00503DCA">
      <w:pPr>
        <w:jc w:val="both"/>
        <w:rPr>
          <w:b/>
        </w:rPr>
      </w:pPr>
      <w:r w:rsidRPr="00EB339F">
        <w:rPr>
          <w:b/>
        </w:rPr>
        <w:t>Incompatible with other special effects</w:t>
      </w:r>
      <w:r>
        <w:rPr>
          <w:b/>
        </w:rPr>
        <w:t>.</w:t>
      </w:r>
    </w:p>
    <w:p w14:paraId="57F0CE8C" w14:textId="4AE5577C" w:rsidR="00983985" w:rsidRDefault="00983985" w:rsidP="00983985">
      <w:pPr>
        <w:pStyle w:val="Subtitle"/>
      </w:pPr>
      <w:r>
        <w:t>Increase Damage:</w:t>
      </w:r>
    </w:p>
    <w:p w14:paraId="5B5A04CA" w14:textId="69620DFC" w:rsidR="009D3C09" w:rsidRDefault="009D3C09" w:rsidP="009D3C09">
      <w:pPr>
        <w:jc w:val="both"/>
      </w:pPr>
      <w:r>
        <w:t xml:space="preserve">For melee and thrown attacks, allocating 1 (2) success(es) for this special effect increases damage by 50% (100%) of the base damage dealt. </w:t>
      </w:r>
    </w:p>
    <w:p w14:paraId="71BF6E49" w14:textId="2C67F5B9" w:rsidR="009D3C09" w:rsidRDefault="009D3C09" w:rsidP="009D3C09">
      <w:pPr>
        <w:jc w:val="both"/>
      </w:pPr>
      <w:r>
        <w:t>For ranged attacks, each allocated success adds 1 to the d12 roll used to determine the damage multiplier.</w:t>
      </w:r>
    </w:p>
    <w:p w14:paraId="2B4A78A0" w14:textId="61B68D6B" w:rsidR="00503DCA" w:rsidRDefault="00503DCA" w:rsidP="009D3C09">
      <w:pPr>
        <w:jc w:val="both"/>
      </w:pPr>
      <w:r>
        <w:t>For all types of attacks, this special effect can be stacked as many times as the attacker can afford.</w:t>
      </w:r>
    </w:p>
    <w:p w14:paraId="7EADF221" w14:textId="482A6FCF" w:rsidR="00503DCA" w:rsidRDefault="00503DCA" w:rsidP="00503DCA">
      <w:pPr>
        <w:pStyle w:val="Subtitle"/>
      </w:pPr>
      <w:r>
        <w:t>Kill Silently</w:t>
      </w:r>
      <w:r w:rsidR="00BC0E28">
        <w:t>:</w:t>
      </w:r>
    </w:p>
    <w:p w14:paraId="52F16253" w14:textId="56C3C514" w:rsidR="00503DCA" w:rsidRPr="00503DCA" w:rsidRDefault="004A6B19" w:rsidP="00503DCA">
      <w:r>
        <w:t>???</w:t>
      </w:r>
    </w:p>
    <w:p w14:paraId="21B0DA43" w14:textId="1F103CAE" w:rsidR="00503DCA" w:rsidRDefault="00503DCA" w:rsidP="00503DCA">
      <w:pPr>
        <w:pStyle w:val="Subtitle"/>
      </w:pPr>
      <w:r>
        <w:t>Knock Back</w:t>
      </w:r>
      <w:r w:rsidR="00BC0E28">
        <w:t>:</w:t>
      </w:r>
    </w:p>
    <w:p w14:paraId="28040E58" w14:textId="26114E0B" w:rsidR="00503DCA" w:rsidRPr="00503DCA" w:rsidRDefault="004A6B19" w:rsidP="00503DCA">
      <w:r>
        <w:t>???</w:t>
      </w:r>
    </w:p>
    <w:p w14:paraId="4A77510A" w14:textId="4CF4A8F1" w:rsidR="00503DCA" w:rsidRDefault="00503DCA" w:rsidP="00503DCA">
      <w:pPr>
        <w:pStyle w:val="Subtitle"/>
      </w:pPr>
      <w:r>
        <w:t>Mangle</w:t>
      </w:r>
      <w:r w:rsidR="00BC0E28">
        <w:t>:</w:t>
      </w:r>
    </w:p>
    <w:p w14:paraId="27C4D031" w14:textId="6AF7CABB" w:rsidR="00503DCA" w:rsidRPr="00503DCA" w:rsidRDefault="004A6B19" w:rsidP="00503DCA">
      <w:r>
        <w:t>???</w:t>
      </w:r>
    </w:p>
    <w:p w14:paraId="68D51C54" w14:textId="6101F533" w:rsidR="00503DCA" w:rsidRDefault="00503DCA" w:rsidP="00503DCA">
      <w:pPr>
        <w:pStyle w:val="Subtitle"/>
      </w:pPr>
      <w:r>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42F23D69" w:rsidR="004A6B19" w:rsidRDefault="004A6B19" w:rsidP="004A6B19">
      <w:pPr>
        <w:jc w:val="both"/>
        <w:rPr>
          <w:b/>
        </w:rPr>
      </w:pPr>
      <w:r w:rsidRPr="004A6B19">
        <w:rPr>
          <w:b/>
        </w:rPr>
        <w:t>Avoiding Armour</w:t>
      </w:r>
    </w:p>
    <w:p w14:paraId="622AAE33" w14:textId="14FD4956" w:rsidR="00775BC3" w:rsidRPr="00775BC3" w:rsidRDefault="00775BC3" w:rsidP="004A6B19">
      <w:pPr>
        <w:jc w:val="both"/>
      </w:pPr>
      <w:r w:rsidRPr="00775BC3">
        <w:t>…</w:t>
      </w:r>
    </w:p>
    <w:p w14:paraId="57331159" w14:textId="6C3929AC" w:rsidR="00503DCA" w:rsidRDefault="004A6B19" w:rsidP="00503DCA">
      <w:pPr>
        <w:pStyle w:val="Subtitle"/>
      </w:pPr>
      <w:r>
        <w:br w:type="column"/>
      </w:r>
      <w:r w:rsidR="00503DCA">
        <w:t>Sunder</w:t>
      </w:r>
      <w:r w:rsidR="00BC0E28">
        <w:t>:</w:t>
      </w:r>
    </w:p>
    <w:p w14:paraId="466506E4" w14:textId="79BF3399" w:rsidR="004A6B19" w:rsidRDefault="004A6B19" w:rsidP="004A6B19">
      <w:pPr>
        <w:jc w:val="both"/>
      </w:pPr>
      <w:r>
        <w:t>Deal damage to a piece of armour you hit, or the object the defender used to block. Each allocated success damages it by 1 point.</w:t>
      </w:r>
    </w:p>
    <w:p w14:paraId="1F1515AA" w14:textId="3CAFFC0B" w:rsidR="0030563C" w:rsidRDefault="0030563C" w:rsidP="0030563C">
      <w:pPr>
        <w:pStyle w:val="Subtitle"/>
      </w:pPr>
      <w:r>
        <w:t>Trip Opponent:</w:t>
      </w:r>
    </w:p>
    <w:p w14:paraId="06ECE59D" w14:textId="77777777" w:rsidR="0030563C" w:rsidRPr="008F368D" w:rsidRDefault="0030563C" w:rsidP="0030563C">
      <w:pPr>
        <w:jc w:val="both"/>
      </w:pPr>
      <w:r w:rsidRPr="008F368D">
        <w:t xml:space="preserve">Allocate 2 successes towards </w:t>
      </w:r>
      <w:r>
        <w:t>tripping</w:t>
      </w:r>
      <w:r w:rsidRPr="008F368D">
        <w:t xml:space="preserve"> a target instead of dealing damage (they become prone). You must have hit the legs in order to do this. Increase cost by 1 if you don't hold an appropriate weapon for tripping (one with a hook or a chain).</w:t>
      </w:r>
    </w:p>
    <w:p w14:paraId="49317D1E" w14:textId="77777777" w:rsidR="0030563C" w:rsidRDefault="0030563C" w:rsidP="0030563C">
      <w:pPr>
        <w:jc w:val="both"/>
      </w:pPr>
      <w:r>
        <w:t>The use of this special effect must be announced before the target performs any reactive actions to defend against the attack, and it allows them to defend with “Stand Fast” and “Fancy Footwork” reactive actions.</w:t>
      </w:r>
    </w:p>
    <w:p w14:paraId="0A99D3E0" w14:textId="6F946623" w:rsidR="0030563C" w:rsidRDefault="0030563C" w:rsidP="0030563C">
      <w:pPr>
        <w:jc w:val="both"/>
        <w:rPr>
          <w:b/>
        </w:rPr>
      </w:pPr>
      <w:r w:rsidRPr="00EB339F">
        <w:rPr>
          <w:b/>
        </w:rPr>
        <w:t>Incompatible with other special effects</w:t>
      </w:r>
      <w:r>
        <w:rPr>
          <w:b/>
        </w:rPr>
        <w:t>.</w:t>
      </w:r>
    </w:p>
    <w:p w14:paraId="2B1F3BC3" w14:textId="372B7B74" w:rsidR="00A41D87" w:rsidRDefault="00A41D87" w:rsidP="00A41D87">
      <w:pPr>
        <w:pStyle w:val="Title"/>
      </w:pPr>
      <w:r>
        <w:t>Special Effects (Defence):</w:t>
      </w:r>
    </w:p>
    <w:p w14:paraId="1A2BE92F" w14:textId="7C13627B" w:rsidR="004A6B19" w:rsidRPr="004A6B19" w:rsidRDefault="004A6B19" w:rsidP="008E1311">
      <w:pPr>
        <w:pStyle w:val="ListParagraph"/>
        <w:numPr>
          <w:ilvl w:val="0"/>
          <w:numId w:val="2"/>
        </w:numPr>
        <w:rPr>
          <w:color w:val="FF0000"/>
        </w:rPr>
      </w:pPr>
      <w:r w:rsidRPr="004A6B19">
        <w:rPr>
          <w:color w:val="FF0000"/>
        </w:rPr>
        <w:t>Overextend opponent</w:t>
      </w:r>
    </w:p>
    <w:p w14:paraId="7510C2FB" w14:textId="59980843" w:rsidR="0030563C" w:rsidRDefault="0030563C" w:rsidP="0030563C"/>
    <w:p w14:paraId="0C161DF6" w14:textId="2F7C22A5" w:rsidR="003B0977" w:rsidRDefault="003B0977" w:rsidP="0010797A">
      <w:r>
        <w:br w:type="column"/>
      </w:r>
    </w:p>
    <w:p w14:paraId="3881E2CF" w14:textId="77777777" w:rsidR="003B0977" w:rsidRPr="0030563C" w:rsidRDefault="003B0977" w:rsidP="0030563C"/>
    <w:sectPr w:rsidR="003B0977" w:rsidRPr="0030563C"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CEFC8" w14:textId="77777777" w:rsidR="00310386" w:rsidRDefault="00310386" w:rsidP="006650A3">
      <w:pPr>
        <w:spacing w:after="0" w:line="240" w:lineRule="auto"/>
      </w:pPr>
      <w:r>
        <w:separator/>
      </w:r>
    </w:p>
  </w:endnote>
  <w:endnote w:type="continuationSeparator" w:id="0">
    <w:p w14:paraId="2A61F558" w14:textId="77777777" w:rsidR="00310386" w:rsidRDefault="00310386"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383853"/>
      <w:docPartObj>
        <w:docPartGallery w:val="Page Numbers (Bottom of Page)"/>
        <w:docPartUnique/>
      </w:docPartObj>
    </w:sdtPr>
    <w:sdtEndPr/>
    <w:sdtContent>
      <w:sdt>
        <w:sdtPr>
          <w:id w:val="1728636285"/>
          <w:docPartObj>
            <w:docPartGallery w:val="Page Numbers (Top of Page)"/>
            <w:docPartUnique/>
          </w:docPartObj>
        </w:sdtPr>
        <w:sdtEndPr/>
        <w:sdtContent>
          <w:p w14:paraId="7BC6E8A9" w14:textId="4A79BB72" w:rsidR="00B61D59" w:rsidRDefault="00B61D5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B61D59" w:rsidRDefault="00B61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CE6C5" w14:textId="77777777" w:rsidR="00310386" w:rsidRDefault="00310386" w:rsidP="006650A3">
      <w:pPr>
        <w:spacing w:after="0" w:line="240" w:lineRule="auto"/>
      </w:pPr>
      <w:r>
        <w:separator/>
      </w:r>
    </w:p>
  </w:footnote>
  <w:footnote w:type="continuationSeparator" w:id="0">
    <w:p w14:paraId="274900EA" w14:textId="77777777" w:rsidR="00310386" w:rsidRDefault="00310386"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38D0"/>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0797A"/>
    <w:rsid w:val="00110852"/>
    <w:rsid w:val="001121C5"/>
    <w:rsid w:val="001129B3"/>
    <w:rsid w:val="0011327F"/>
    <w:rsid w:val="001174CD"/>
    <w:rsid w:val="00121D0C"/>
    <w:rsid w:val="00125235"/>
    <w:rsid w:val="00125848"/>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9D4"/>
    <w:rsid w:val="001D117B"/>
    <w:rsid w:val="001D5023"/>
    <w:rsid w:val="001D582A"/>
    <w:rsid w:val="001D74D3"/>
    <w:rsid w:val="001D77DE"/>
    <w:rsid w:val="001E16A9"/>
    <w:rsid w:val="001E2B0D"/>
    <w:rsid w:val="001E3FE7"/>
    <w:rsid w:val="001E51D3"/>
    <w:rsid w:val="001E6873"/>
    <w:rsid w:val="001F35F8"/>
    <w:rsid w:val="00200F1A"/>
    <w:rsid w:val="00203046"/>
    <w:rsid w:val="002062C2"/>
    <w:rsid w:val="0021030F"/>
    <w:rsid w:val="00211F4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0563C"/>
    <w:rsid w:val="00310386"/>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238F"/>
    <w:rsid w:val="003541A4"/>
    <w:rsid w:val="00354DA6"/>
    <w:rsid w:val="00356A6F"/>
    <w:rsid w:val="00362225"/>
    <w:rsid w:val="003640CF"/>
    <w:rsid w:val="00364592"/>
    <w:rsid w:val="00365161"/>
    <w:rsid w:val="003669B7"/>
    <w:rsid w:val="00370DA2"/>
    <w:rsid w:val="00372EAA"/>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0D2A"/>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316F"/>
    <w:rsid w:val="004B5312"/>
    <w:rsid w:val="004C0CCB"/>
    <w:rsid w:val="004C17C4"/>
    <w:rsid w:val="004C24F9"/>
    <w:rsid w:val="004C2EE3"/>
    <w:rsid w:val="004C373F"/>
    <w:rsid w:val="004C3872"/>
    <w:rsid w:val="004D0694"/>
    <w:rsid w:val="004D17C5"/>
    <w:rsid w:val="004D1B5C"/>
    <w:rsid w:val="004D1C17"/>
    <w:rsid w:val="004D21CE"/>
    <w:rsid w:val="004D35B0"/>
    <w:rsid w:val="004D7206"/>
    <w:rsid w:val="004D7419"/>
    <w:rsid w:val="004E06B6"/>
    <w:rsid w:val="004E182C"/>
    <w:rsid w:val="004E1C6D"/>
    <w:rsid w:val="004E2E4D"/>
    <w:rsid w:val="004E2F7E"/>
    <w:rsid w:val="004E5431"/>
    <w:rsid w:val="004F299E"/>
    <w:rsid w:val="004F3C0D"/>
    <w:rsid w:val="004F410D"/>
    <w:rsid w:val="004F5BD2"/>
    <w:rsid w:val="00502600"/>
    <w:rsid w:val="00503DCA"/>
    <w:rsid w:val="00504B24"/>
    <w:rsid w:val="00506462"/>
    <w:rsid w:val="0050648B"/>
    <w:rsid w:val="00507475"/>
    <w:rsid w:val="00510109"/>
    <w:rsid w:val="005118E7"/>
    <w:rsid w:val="00512246"/>
    <w:rsid w:val="00515EE6"/>
    <w:rsid w:val="005202E6"/>
    <w:rsid w:val="0052160D"/>
    <w:rsid w:val="00521637"/>
    <w:rsid w:val="00521A0B"/>
    <w:rsid w:val="00522F0A"/>
    <w:rsid w:val="005238C0"/>
    <w:rsid w:val="00525149"/>
    <w:rsid w:val="00527E84"/>
    <w:rsid w:val="00530EA0"/>
    <w:rsid w:val="005336D7"/>
    <w:rsid w:val="00534D30"/>
    <w:rsid w:val="00536E4E"/>
    <w:rsid w:val="00537574"/>
    <w:rsid w:val="00546DBB"/>
    <w:rsid w:val="00551126"/>
    <w:rsid w:val="005511C7"/>
    <w:rsid w:val="00551D08"/>
    <w:rsid w:val="00552C26"/>
    <w:rsid w:val="00553157"/>
    <w:rsid w:val="00553B03"/>
    <w:rsid w:val="00554E7B"/>
    <w:rsid w:val="0055555A"/>
    <w:rsid w:val="00562406"/>
    <w:rsid w:val="005639F0"/>
    <w:rsid w:val="00564BF6"/>
    <w:rsid w:val="00572362"/>
    <w:rsid w:val="00573A3B"/>
    <w:rsid w:val="00573F12"/>
    <w:rsid w:val="005745E9"/>
    <w:rsid w:val="005769E5"/>
    <w:rsid w:val="00577BA9"/>
    <w:rsid w:val="00580262"/>
    <w:rsid w:val="005803C7"/>
    <w:rsid w:val="00581B4D"/>
    <w:rsid w:val="005848E2"/>
    <w:rsid w:val="00587E6F"/>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5F6CC3"/>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7CB0"/>
    <w:rsid w:val="007A537B"/>
    <w:rsid w:val="007A5B43"/>
    <w:rsid w:val="007A5C54"/>
    <w:rsid w:val="007B1E89"/>
    <w:rsid w:val="007B7BB1"/>
    <w:rsid w:val="007C0130"/>
    <w:rsid w:val="007C048B"/>
    <w:rsid w:val="007C351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6273C"/>
    <w:rsid w:val="00870900"/>
    <w:rsid w:val="00872029"/>
    <w:rsid w:val="00876580"/>
    <w:rsid w:val="0088083D"/>
    <w:rsid w:val="00881BB5"/>
    <w:rsid w:val="008820BD"/>
    <w:rsid w:val="00882C60"/>
    <w:rsid w:val="00884C68"/>
    <w:rsid w:val="00886B2A"/>
    <w:rsid w:val="00890244"/>
    <w:rsid w:val="008A2806"/>
    <w:rsid w:val="008A3422"/>
    <w:rsid w:val="008A55E3"/>
    <w:rsid w:val="008B4769"/>
    <w:rsid w:val="008B50A4"/>
    <w:rsid w:val="008B5524"/>
    <w:rsid w:val="008B63C6"/>
    <w:rsid w:val="008B73A1"/>
    <w:rsid w:val="008C186E"/>
    <w:rsid w:val="008C1C52"/>
    <w:rsid w:val="008C1C5F"/>
    <w:rsid w:val="008C47F3"/>
    <w:rsid w:val="008D1B6C"/>
    <w:rsid w:val="008D2380"/>
    <w:rsid w:val="008D4C46"/>
    <w:rsid w:val="008D647E"/>
    <w:rsid w:val="008E1311"/>
    <w:rsid w:val="008E73C9"/>
    <w:rsid w:val="008E7B13"/>
    <w:rsid w:val="008F0790"/>
    <w:rsid w:val="008F11B3"/>
    <w:rsid w:val="008F147D"/>
    <w:rsid w:val="008F3185"/>
    <w:rsid w:val="008F368D"/>
    <w:rsid w:val="008F3912"/>
    <w:rsid w:val="00905922"/>
    <w:rsid w:val="00906625"/>
    <w:rsid w:val="00920394"/>
    <w:rsid w:val="00920C0A"/>
    <w:rsid w:val="009210F1"/>
    <w:rsid w:val="00922B2F"/>
    <w:rsid w:val="0092319C"/>
    <w:rsid w:val="00923531"/>
    <w:rsid w:val="009241A9"/>
    <w:rsid w:val="009244E7"/>
    <w:rsid w:val="00927B22"/>
    <w:rsid w:val="009335B9"/>
    <w:rsid w:val="00937161"/>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4E09"/>
    <w:rsid w:val="009B5B71"/>
    <w:rsid w:val="009B61CE"/>
    <w:rsid w:val="009C0418"/>
    <w:rsid w:val="009C2517"/>
    <w:rsid w:val="009C42D8"/>
    <w:rsid w:val="009C5734"/>
    <w:rsid w:val="009C74DD"/>
    <w:rsid w:val="009D1BB3"/>
    <w:rsid w:val="009D1C09"/>
    <w:rsid w:val="009D3C09"/>
    <w:rsid w:val="009D6994"/>
    <w:rsid w:val="009E18AF"/>
    <w:rsid w:val="009E1DCD"/>
    <w:rsid w:val="009E41ED"/>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90D2B"/>
    <w:rsid w:val="00A95009"/>
    <w:rsid w:val="00A9505B"/>
    <w:rsid w:val="00A967D9"/>
    <w:rsid w:val="00A97A02"/>
    <w:rsid w:val="00A97D75"/>
    <w:rsid w:val="00A97F3A"/>
    <w:rsid w:val="00AA1FB6"/>
    <w:rsid w:val="00AA2C20"/>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290A"/>
    <w:rsid w:val="00AE3286"/>
    <w:rsid w:val="00AF0D71"/>
    <w:rsid w:val="00AF5E20"/>
    <w:rsid w:val="00B00C82"/>
    <w:rsid w:val="00B043C8"/>
    <w:rsid w:val="00B0689D"/>
    <w:rsid w:val="00B102FC"/>
    <w:rsid w:val="00B1059E"/>
    <w:rsid w:val="00B10F51"/>
    <w:rsid w:val="00B1609A"/>
    <w:rsid w:val="00B161DC"/>
    <w:rsid w:val="00B20294"/>
    <w:rsid w:val="00B26E75"/>
    <w:rsid w:val="00B35EAF"/>
    <w:rsid w:val="00B40003"/>
    <w:rsid w:val="00B40AC3"/>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33BE"/>
    <w:rsid w:val="00B9479D"/>
    <w:rsid w:val="00B94BFE"/>
    <w:rsid w:val="00BA04BE"/>
    <w:rsid w:val="00BA3CE2"/>
    <w:rsid w:val="00BA5430"/>
    <w:rsid w:val="00BA7871"/>
    <w:rsid w:val="00BC0603"/>
    <w:rsid w:val="00BC09E9"/>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337B"/>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3AA"/>
    <w:rsid w:val="00C633EE"/>
    <w:rsid w:val="00C655AB"/>
    <w:rsid w:val="00C65C98"/>
    <w:rsid w:val="00C708CF"/>
    <w:rsid w:val="00C738EA"/>
    <w:rsid w:val="00C7696F"/>
    <w:rsid w:val="00C77948"/>
    <w:rsid w:val="00C82167"/>
    <w:rsid w:val="00C8768C"/>
    <w:rsid w:val="00C9016D"/>
    <w:rsid w:val="00C9088E"/>
    <w:rsid w:val="00C91A8B"/>
    <w:rsid w:val="00C94DF0"/>
    <w:rsid w:val="00C95492"/>
    <w:rsid w:val="00C97999"/>
    <w:rsid w:val="00CA040B"/>
    <w:rsid w:val="00CA387E"/>
    <w:rsid w:val="00CA76E6"/>
    <w:rsid w:val="00CA7AC4"/>
    <w:rsid w:val="00CB0086"/>
    <w:rsid w:val="00CB093E"/>
    <w:rsid w:val="00CB3715"/>
    <w:rsid w:val="00CB65D6"/>
    <w:rsid w:val="00CC0E83"/>
    <w:rsid w:val="00CC46E3"/>
    <w:rsid w:val="00CC71EA"/>
    <w:rsid w:val="00CD275A"/>
    <w:rsid w:val="00CD35D3"/>
    <w:rsid w:val="00CD3B22"/>
    <w:rsid w:val="00CD3BC7"/>
    <w:rsid w:val="00CD5131"/>
    <w:rsid w:val="00CD63B2"/>
    <w:rsid w:val="00CD6BC6"/>
    <w:rsid w:val="00CE047C"/>
    <w:rsid w:val="00CE1F8A"/>
    <w:rsid w:val="00CE3D00"/>
    <w:rsid w:val="00CE3EBF"/>
    <w:rsid w:val="00CE3EDE"/>
    <w:rsid w:val="00CE4A13"/>
    <w:rsid w:val="00CE56CF"/>
    <w:rsid w:val="00CF3134"/>
    <w:rsid w:val="00CF6311"/>
    <w:rsid w:val="00CF70C5"/>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71BA"/>
    <w:rsid w:val="00D77619"/>
    <w:rsid w:val="00D8072B"/>
    <w:rsid w:val="00D8137C"/>
    <w:rsid w:val="00D81AF2"/>
    <w:rsid w:val="00D8325A"/>
    <w:rsid w:val="00D833CD"/>
    <w:rsid w:val="00D8774B"/>
    <w:rsid w:val="00D87B53"/>
    <w:rsid w:val="00D93AB0"/>
    <w:rsid w:val="00D95547"/>
    <w:rsid w:val="00D96758"/>
    <w:rsid w:val="00DA385C"/>
    <w:rsid w:val="00DA6F58"/>
    <w:rsid w:val="00DB1C44"/>
    <w:rsid w:val="00DB1C8F"/>
    <w:rsid w:val="00DB2876"/>
    <w:rsid w:val="00DB386B"/>
    <w:rsid w:val="00DB51A5"/>
    <w:rsid w:val="00DB6D21"/>
    <w:rsid w:val="00DB6D97"/>
    <w:rsid w:val="00DC0F1E"/>
    <w:rsid w:val="00DC279E"/>
    <w:rsid w:val="00DC28BA"/>
    <w:rsid w:val="00DC4145"/>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39AC"/>
    <w:rsid w:val="00DF49DB"/>
    <w:rsid w:val="00E00AA4"/>
    <w:rsid w:val="00E00E57"/>
    <w:rsid w:val="00E027DC"/>
    <w:rsid w:val="00E05D91"/>
    <w:rsid w:val="00E07F78"/>
    <w:rsid w:val="00E11C95"/>
    <w:rsid w:val="00E1670F"/>
    <w:rsid w:val="00E16A13"/>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B6F"/>
    <w:rsid w:val="00E93F08"/>
    <w:rsid w:val="00E95963"/>
    <w:rsid w:val="00E975F4"/>
    <w:rsid w:val="00EA29A7"/>
    <w:rsid w:val="00EA456B"/>
    <w:rsid w:val="00EA47FB"/>
    <w:rsid w:val="00EA7BC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469D"/>
    <w:rsid w:val="00F66C8A"/>
    <w:rsid w:val="00F67B10"/>
    <w:rsid w:val="00F70D60"/>
    <w:rsid w:val="00F727F3"/>
    <w:rsid w:val="00F73825"/>
    <w:rsid w:val="00F74AEE"/>
    <w:rsid w:val="00F76281"/>
    <w:rsid w:val="00F773B6"/>
    <w:rsid w:val="00F8538D"/>
    <w:rsid w:val="00F865AA"/>
    <w:rsid w:val="00F865E2"/>
    <w:rsid w:val="00F90623"/>
    <w:rsid w:val="00F9410C"/>
    <w:rsid w:val="00F947E9"/>
    <w:rsid w:val="00FA2CC8"/>
    <w:rsid w:val="00FA3017"/>
    <w:rsid w:val="00FB1E1F"/>
    <w:rsid w:val="00FB792F"/>
    <w:rsid w:val="00FC010F"/>
    <w:rsid w:val="00FC133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42285-61FD-4D0D-ADBA-F7C102292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8</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35</cp:revision>
  <dcterms:created xsi:type="dcterms:W3CDTF">2017-08-25T14:37:00Z</dcterms:created>
  <dcterms:modified xsi:type="dcterms:W3CDTF">2019-05-27T21:08:00Z</dcterms:modified>
</cp:coreProperties>
</file>