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 xml:space="preserve">In game terms, there’s a </w:t>
      </w:r>
      <w:proofErr w:type="spellStart"/>
      <w:r>
        <w:rPr>
          <w:lang w:val="en"/>
        </w:rPr>
        <w:t>wade</w:t>
      </w:r>
      <w:proofErr w:type="spellEnd"/>
      <w:r>
        <w:rPr>
          <w:lang w:val="en"/>
        </w:rPr>
        <w:t xml:space="preserv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 xml:space="preserve">While Perks work purely on the mechanical level, Traits also imply a </w:t>
      </w:r>
      <w:proofErr w:type="spellStart"/>
      <w:r>
        <w:rPr>
          <w:lang w:val="en"/>
        </w:rPr>
        <w:t>behaviour</w:t>
      </w:r>
      <w:proofErr w:type="spellEnd"/>
      <w:r>
        <w:rPr>
          <w:lang w:val="en"/>
        </w:rPr>
        <w:t>;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 xml:space="preserve">These also share something with Traits, but they are basically the opposite of Perks; While Perks are all about mechanics, Beliefs and Instincts are all about personality and </w:t>
      </w:r>
      <w:proofErr w:type="spellStart"/>
      <w:r>
        <w:rPr>
          <w:lang w:val="en"/>
        </w:rPr>
        <w:t>behaviour</w:t>
      </w:r>
      <w:proofErr w:type="spellEnd"/>
      <w:r>
        <w:rPr>
          <w:lang w:val="en"/>
        </w:rPr>
        <w:t>.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 xml:space="preserve">&lt;It’s backstory and stuff, </w:t>
      </w:r>
      <w:proofErr w:type="spellStart"/>
      <w:r w:rsidRPr="00743DC6">
        <w:rPr>
          <w:color w:val="FF0000"/>
          <w:lang w:val="en"/>
        </w:rPr>
        <w:t>yo</w:t>
      </w:r>
      <w:proofErr w:type="spellEnd"/>
      <w:r w:rsidRPr="00743DC6">
        <w:rPr>
          <w:color w:val="FF0000"/>
          <w:lang w:val="en"/>
        </w:rPr>
        <w:t>!&gt;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that’s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D037A">
      <w:pPr>
        <w:spacing w:before="120"/>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0E59F131" w:rsidR="00A1471A" w:rsidRDefault="00497E4D" w:rsidP="00BF6688">
      <w:pPr>
        <w:jc w:val="both"/>
        <w:rPr>
          <w:color w:val="FF0000"/>
        </w:rPr>
      </w:pPr>
      <w:r>
        <w:rPr>
          <w:color w:val="FF0000"/>
        </w:rPr>
        <w:t>&lt;STUB&gt;</w:t>
      </w:r>
    </w:p>
    <w:p w14:paraId="3E527D17" w14:textId="7D95B890" w:rsidR="00713155" w:rsidRDefault="00713155" w:rsidP="00BF6688">
      <w:pPr>
        <w:jc w:val="both"/>
        <w:rPr>
          <w:color w:val="FF0000"/>
        </w:rPr>
      </w:pPr>
    </w:p>
    <w:p w14:paraId="11CD70EF" w14:textId="35284C1A" w:rsidR="00676056" w:rsidRDefault="00713155" w:rsidP="00713155">
      <w:pPr>
        <w:pStyle w:val="Heading1"/>
      </w:pPr>
      <w:r>
        <w:br w:type="column"/>
      </w:r>
      <w:r w:rsidR="00676056">
        <w:lastRenderedPageBreak/>
        <w:t>2.</w:t>
      </w:r>
      <w:r w:rsidR="00C54CA1">
        <w:t>2</w:t>
      </w:r>
      <w:r w:rsidR="00676056">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 xml:space="preserve">These stats and rules are there primarily to facilitate physical confrontation – most commonly just plain </w:t>
      </w:r>
      <w:proofErr w:type="spellStart"/>
      <w:r w:rsidR="00376686">
        <w:t>ol</w:t>
      </w:r>
      <w:proofErr w:type="spellEnd"/>
      <w:r w:rsidR="00376686">
        <w:t>’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w:t>
      </w:r>
      <w:proofErr w:type="gramStart"/>
      <w:r>
        <w:t>it’s</w:t>
      </w:r>
      <w:proofErr w:type="gramEnd"/>
      <w:r>
        <w:t xml:space="preserve"> definitely much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0ECF33CB" w:rsidR="00E83214" w:rsidRDefault="00CF6C8B" w:rsidP="003D0CF1">
      <w:pPr>
        <w:pStyle w:val="Subtitle"/>
      </w:pPr>
      <w:r w:rsidRPr="00CF6C8B">
        <w:t xml:space="preserve">Shift </w:t>
      </w:r>
      <w:r w:rsidR="003D0CF1">
        <w:t>Speed:</w:t>
      </w:r>
    </w:p>
    <w:p w14:paraId="3E02AA1E" w14:textId="5BD2B2D4" w:rsidR="003D0CF1" w:rsidRPr="003D0CF1" w:rsidRDefault="003D0CF1" w:rsidP="003D0CF1">
      <w:pPr>
        <w:jc w:val="both"/>
      </w:pPr>
      <w:r>
        <w:t>A creature’s Shift Speed must always be strictly lower than their (current) Movement Speed.</w:t>
      </w:r>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0188B69C" w:rsidR="00376686" w:rsidRDefault="00D11864" w:rsidP="00D11864">
      <w:pPr>
        <w:jc w:val="both"/>
      </w:pPr>
      <w:r>
        <w:t>Reach is the range at which a creature may attack or grab objects and other creatures.</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 take up less than 1 square of space. This means that more than one such creature can fit into a single square. For example, a Tiny creature (such as a cat) typically occupies a space only 2-1/2 feet across, so four can fit into a single square. Twenty-five Diminutive creatures or 100 Fine creatures can fit into a single square. Creatures that take up less than 1 square of space typically have a natural reach of 0 feet, meaning they can’t reach into adjacent squares. They must enter an opponent’s square to attack in melee. This provokes an attack of opportunity from the opponent. You can attack into your own square if you need to, so you can attack such creatures normally. Since they have no natural reach, they do not threaten the squares around them. You can move past them without provoking attacks of opportunity. They also can’t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1CEC733A" w14:textId="58E634EE" w:rsidR="00D11864" w:rsidRDefault="00676056" w:rsidP="00A21457">
      <w:r>
        <w:br w:type="column"/>
      </w:r>
      <w:proofErr w:type="spellStart"/>
      <w:r w:rsidR="00D11864">
        <w:lastRenderedPageBreak/>
        <w:t>Asdf</w:t>
      </w:r>
      <w:proofErr w:type="spellEnd"/>
    </w:p>
    <w:p w14:paraId="73D66B03" w14:textId="12897A96" w:rsidR="00713155" w:rsidRDefault="00A21457" w:rsidP="008459FF">
      <w:pPr>
        <w:pStyle w:val="Title"/>
      </w:pPr>
      <w:r>
        <w:rPr>
          <w:noProof/>
        </w:rPr>
        <mc:AlternateContent>
          <mc:Choice Requires="wps">
            <w:drawing>
              <wp:anchor distT="45720" distB="45720" distL="114300" distR="114300" simplePos="0" relativeHeight="251659264" behindDoc="0" locked="0" layoutInCell="1" allowOverlap="1" wp14:anchorId="5CA36FB0" wp14:editId="2685DF46">
                <wp:simplePos x="0" y="0"/>
                <wp:positionH relativeFrom="column">
                  <wp:posOffset>9525</wp:posOffset>
                </wp:positionH>
                <wp:positionV relativeFrom="paragraph">
                  <wp:posOffset>336550</wp:posOffset>
                </wp:positionV>
                <wp:extent cx="6172200" cy="27362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36215"/>
                        </a:xfrm>
                        <a:prstGeom prst="rect">
                          <a:avLst/>
                        </a:prstGeom>
                        <a:solidFill>
                          <a:srgbClr val="FFFFFF"/>
                        </a:solidFill>
                        <a:ln w="9525">
                          <a:solidFill>
                            <a:srgbClr val="000000"/>
                          </a:solidFill>
                          <a:miter lim="800000"/>
                          <a:headEnd/>
                          <a:tailEnd/>
                        </a:ln>
                      </wps:spPr>
                      <wps:txb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6FB0" id="_x0000_s1027" type="#_x0000_t202" style="position:absolute;margin-left:.75pt;margin-top:26.5pt;width:486pt;height:2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">
                <v:textbo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v:textbox>
                <w10:wrap type="square"/>
              </v:shape>
            </w:pict>
          </mc:Fallback>
        </mc:AlternateContent>
      </w:r>
      <w:r w:rsidR="00D11864">
        <w:br w:type="column"/>
      </w:r>
      <w:proofErr w:type="spellStart"/>
      <w:r w:rsidR="00D11864">
        <w:t>Asdf</w:t>
      </w:r>
      <w:proofErr w:type="spellEnd"/>
      <w:r w:rsidR="00D11864">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xml:space="preserve">, Meta stuff (Circles, Preparedness </w:t>
      </w:r>
      <w:proofErr w:type="spellStart"/>
      <w:r w:rsidR="009C01C0">
        <w:rPr>
          <w:color w:val="FF0000"/>
          <w:lang w:val="en"/>
        </w:rPr>
        <w:t>etc</w:t>
      </w:r>
      <w:proofErr w:type="spellEnd"/>
      <w:r w:rsidR="009C01C0">
        <w:rPr>
          <w:color w:val="FF0000"/>
          <w:lang w:val="en"/>
        </w:rPr>
        <w:t>), Level</w:t>
      </w:r>
    </w:p>
    <w:p w14:paraId="13CA1785" w14:textId="6359AD89" w:rsidR="00713155" w:rsidRPr="00713155" w:rsidRDefault="00713155" w:rsidP="00713155">
      <w:pPr>
        <w:pStyle w:val="Title"/>
      </w:pPr>
      <w:proofErr w:type="spellStart"/>
      <w:r>
        <w:t>Asdf</w:t>
      </w:r>
      <w:proofErr w:type="spellEnd"/>
      <w:r>
        <w:t>…</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DA261" w14:textId="77777777" w:rsidR="00103247" w:rsidRDefault="00103247" w:rsidP="006650A3">
      <w:pPr>
        <w:spacing w:after="0" w:line="240" w:lineRule="auto"/>
      </w:pPr>
      <w:r>
        <w:separator/>
      </w:r>
    </w:p>
  </w:endnote>
  <w:endnote w:type="continuationSeparator" w:id="0">
    <w:p w14:paraId="390763E7" w14:textId="77777777" w:rsidR="00103247" w:rsidRDefault="0010324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EFC16" w14:textId="77777777" w:rsidR="00103247" w:rsidRDefault="00103247" w:rsidP="006650A3">
      <w:pPr>
        <w:spacing w:after="0" w:line="240" w:lineRule="auto"/>
      </w:pPr>
      <w:r>
        <w:separator/>
      </w:r>
    </w:p>
  </w:footnote>
  <w:footnote w:type="continuationSeparator" w:id="0">
    <w:p w14:paraId="6F6F4514" w14:textId="77777777" w:rsidR="00103247" w:rsidRDefault="0010324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4"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1"/>
  </w:num>
  <w:num w:numId="4">
    <w:abstractNumId w:val="0"/>
  </w:num>
  <w:num w:numId="5">
    <w:abstractNumId w:val="3"/>
  </w:num>
  <w:num w:numId="6">
    <w:abstractNumId w:val="42"/>
  </w:num>
  <w:num w:numId="7">
    <w:abstractNumId w:val="34"/>
  </w:num>
  <w:num w:numId="8">
    <w:abstractNumId w:val="30"/>
  </w:num>
  <w:num w:numId="9">
    <w:abstractNumId w:val="4"/>
  </w:num>
  <w:num w:numId="10">
    <w:abstractNumId w:val="28"/>
  </w:num>
  <w:num w:numId="11">
    <w:abstractNumId w:val="11"/>
  </w:num>
  <w:num w:numId="12">
    <w:abstractNumId w:val="22"/>
  </w:num>
  <w:num w:numId="13">
    <w:abstractNumId w:val="44"/>
  </w:num>
  <w:num w:numId="14">
    <w:abstractNumId w:val="15"/>
  </w:num>
  <w:num w:numId="15">
    <w:abstractNumId w:val="24"/>
  </w:num>
  <w:num w:numId="16">
    <w:abstractNumId w:val="37"/>
  </w:num>
  <w:num w:numId="17">
    <w:abstractNumId w:val="19"/>
  </w:num>
  <w:num w:numId="18">
    <w:abstractNumId w:val="46"/>
  </w:num>
  <w:num w:numId="19">
    <w:abstractNumId w:val="40"/>
  </w:num>
  <w:num w:numId="20">
    <w:abstractNumId w:val="38"/>
  </w:num>
  <w:num w:numId="21">
    <w:abstractNumId w:val="26"/>
  </w:num>
  <w:num w:numId="22">
    <w:abstractNumId w:val="7"/>
  </w:num>
  <w:num w:numId="23">
    <w:abstractNumId w:val="23"/>
  </w:num>
  <w:num w:numId="24">
    <w:abstractNumId w:val="1"/>
  </w:num>
  <w:num w:numId="25">
    <w:abstractNumId w:val="45"/>
  </w:num>
  <w:num w:numId="26">
    <w:abstractNumId w:val="27"/>
  </w:num>
  <w:num w:numId="27">
    <w:abstractNumId w:val="35"/>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3"/>
  </w:num>
  <w:num w:numId="35">
    <w:abstractNumId w:val="36"/>
  </w:num>
  <w:num w:numId="36">
    <w:abstractNumId w:val="41"/>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 w:numId="44">
    <w:abstractNumId w:val="29"/>
  </w:num>
  <w:num w:numId="45">
    <w:abstractNumId w:val="39"/>
  </w:num>
  <w:num w:numId="46">
    <w:abstractNumId w:val="4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3247"/>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F1"/>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3AA2"/>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459FF"/>
    <w:rsid w:val="00850636"/>
    <w:rsid w:val="00850A09"/>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93</cp:revision>
  <dcterms:created xsi:type="dcterms:W3CDTF">2017-08-25T14:37:00Z</dcterms:created>
  <dcterms:modified xsi:type="dcterms:W3CDTF">2020-09-06T14:38:00Z</dcterms:modified>
</cp:coreProperties>
</file>