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77777777" w:rsidR="00123808" w:rsidRDefault="00922E63" w:rsidP="00FA7128">
      <w:pPr>
        <w:pStyle w:val="Heading1"/>
        <w:rPr>
          <w:lang w:val="en-US"/>
        </w:rPr>
      </w:pPr>
      <w:r w:rsidRPr="00C315F9">
        <w:rPr>
          <w:lang w:val="en-US"/>
        </w:rPr>
        <w:t>6.3</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544A8DFD"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Those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 xml:space="preserve">“I’m </w:t>
      </w:r>
      <w:proofErr w:type="spellStart"/>
      <w:r w:rsidRPr="005E03BB">
        <w:rPr>
          <w:color w:val="808080" w:themeColor="background1" w:themeShade="80"/>
          <w:lang w:val="en-US"/>
        </w:rPr>
        <w:t>makin</w:t>
      </w:r>
      <w:proofErr w:type="spellEnd"/>
      <w:r w:rsidRPr="005E03BB">
        <w:rPr>
          <w:color w:val="808080" w:themeColor="background1" w:themeShade="80"/>
          <w:lang w:val="en-US"/>
        </w:rPr>
        <w:t>’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36FA8C78" w:rsidR="00D30CEF" w:rsidRDefault="00D30CEF" w:rsidP="005E03BB">
      <w:pPr>
        <w:jc w:val="both"/>
        <w:rPr>
          <w:lang w:val="en-US"/>
        </w:rPr>
      </w:pPr>
      <w:r>
        <w:rPr>
          <w:lang w:val="en-US"/>
        </w:rPr>
        <w:t xml:space="preserve">If the test is successful, it can reduce the score of an Objection by one or more </w:t>
      </w:r>
      <w:proofErr w:type="gramStart"/>
      <w:r>
        <w:rPr>
          <w:lang w:val="en-US"/>
        </w:rPr>
        <w:t>points, or</w:t>
      </w:r>
      <w:proofErr w:type="gramEnd"/>
      <w:r>
        <w:rPr>
          <w:lang w:val="en-US"/>
        </w:rPr>
        <w:t xml:space="preserve">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F01217">
      <w:pPr>
        <w:pStyle w:val="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6FCB37ED" w:rsidR="00D9381E" w:rsidRPr="00871A3B" w:rsidRDefault="00D9381E" w:rsidP="006E62C3">
      <w:pPr>
        <w:jc w:val="both"/>
        <w:rPr>
          <w:lang w:val="en-US"/>
        </w:rPr>
      </w:pPr>
      <w:r>
        <w:rPr>
          <w:lang w:val="en-US"/>
        </w:rPr>
        <w:t xml:space="preserve">In case of </w:t>
      </w:r>
      <w:proofErr w:type="spellStart"/>
      <w:r>
        <w:rPr>
          <w:lang w:val="en-US"/>
        </w:rPr>
        <w:t>favourable</w:t>
      </w:r>
      <w:proofErr w:type="spellEnd"/>
      <w:r>
        <w:rPr>
          <w:lang w:val="en-US"/>
        </w:rPr>
        <w:t xml:space="preserve"> conditions for the PCs (good first impression, good reputation, the NPC has lots of free time etc.), roll 3d6 and pick the highest two. In the opposite case (PCs have bad reputation, NPC doesn’t like them due to prejudice, is busy etc.), roll 3d6 and pick the lowest two.</w:t>
      </w:r>
    </w:p>
    <w:p w14:paraId="7EA741E7" w14:textId="2E175B1A" w:rsidR="009945B5" w:rsidRDefault="008B4EAD" w:rsidP="00F01217">
      <w:pPr>
        <w:pStyle w:val="Subtitle"/>
        <w:rPr>
          <w:lang w:val="en-US"/>
        </w:rPr>
      </w:pPr>
      <w:r>
        <w:rPr>
          <w:lang w:val="en-US"/>
        </w:rPr>
        <w:br w:type="column"/>
      </w: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w:t>
      </w:r>
      <w:proofErr w:type="spellStart"/>
      <w:r w:rsidR="00472063">
        <w:rPr>
          <w:lang w:val="en-US"/>
        </w:rPr>
        <w:t>neighbouring</w:t>
      </w:r>
      <w:proofErr w:type="spellEnd"/>
      <w:r w:rsidR="00472063">
        <w:rPr>
          <w:lang w:val="en-US"/>
        </w:rPr>
        <w:t xml:space="preserve">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w:t>
      </w:r>
      <w:proofErr w:type="spellStart"/>
      <w:r w:rsidRPr="00472063">
        <w:rPr>
          <w:color w:val="F79646" w:themeColor="accent6"/>
          <w:lang w:val="en-US"/>
        </w:rPr>
        <w:t>Dongor</w:t>
      </w:r>
      <w:proofErr w:type="spellEnd"/>
      <w:r w:rsidRPr="00472063">
        <w:rPr>
          <w:color w:val="F79646" w:themeColor="accent6"/>
          <w:lang w:val="en-US"/>
        </w:rPr>
        <w:t xml:space="preserve">, they will destroy </w:t>
      </w:r>
      <w:proofErr w:type="spellStart"/>
      <w:r w:rsidRPr="00472063">
        <w:rPr>
          <w:color w:val="F79646" w:themeColor="accent6"/>
          <w:lang w:val="en-US"/>
        </w:rPr>
        <w:t>Norahn</w:t>
      </w:r>
      <w:proofErr w:type="spellEnd"/>
      <w:r w:rsidRPr="00472063">
        <w:rPr>
          <w:color w:val="F79646" w:themeColor="accent6"/>
          <w:lang w:val="en-US"/>
        </w:rPr>
        <w:t>.”</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w:t>
      </w:r>
      <w:proofErr w:type="spellStart"/>
      <w:r w:rsidRPr="00472063">
        <w:rPr>
          <w:color w:val="F79646" w:themeColor="accent6"/>
          <w:lang w:val="en-US"/>
        </w:rPr>
        <w:t>Bhargar</w:t>
      </w:r>
      <w:proofErr w:type="spellEnd"/>
      <w:r w:rsidRPr="00472063">
        <w:rPr>
          <w:color w:val="F79646" w:themeColor="accent6"/>
          <w:lang w:val="en-US"/>
        </w:rPr>
        <w:t xml:space="preserve">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lastRenderedPageBreak/>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44601290" w14:textId="79F227DD" w:rsidR="00AA5B50" w:rsidRDefault="00AA5B50" w:rsidP="00AA5B50">
      <w:pPr>
        <w:pStyle w:val="Heading3"/>
        <w:rPr>
          <w:lang w:val="en-US"/>
        </w:rPr>
      </w:pPr>
      <w:r>
        <w:rPr>
          <w:lang w:val="en-US"/>
        </w:rPr>
        <w:t>Narrating Results of the Tests:</w:t>
      </w:r>
    </w:p>
    <w:p w14:paraId="59F0375B" w14:textId="66609098" w:rsidR="00AA5B50" w:rsidRDefault="00AA5B50" w:rsidP="00AA5B50">
      <w:pPr>
        <w:rPr>
          <w:color w:val="FF0000"/>
          <w:lang w:val="en-US"/>
        </w:rPr>
      </w:pPr>
      <w:r w:rsidRPr="00AA5B50">
        <w:rPr>
          <w:color w:val="FF0000"/>
          <w:lang w:val="en-US"/>
        </w:rPr>
        <w:t>&lt;STUB&gt;</w:t>
      </w:r>
    </w:p>
    <w:p w14:paraId="07190850" w14:textId="55BCB003" w:rsidR="00AA5B50" w:rsidRDefault="00AA5B50" w:rsidP="00AA5B50">
      <w:pPr>
        <w:pStyle w:val="Heading3"/>
        <w:rPr>
          <w:lang w:val="en-US"/>
        </w:rPr>
      </w:pPr>
      <w:r>
        <w:rPr>
          <w:lang w:val="en-US"/>
        </w:rPr>
        <w:br w:type="column"/>
      </w:r>
      <w:r>
        <w:rPr>
          <w:lang w:val="en-US"/>
        </w:rPr>
        <w:t>Lying</w:t>
      </w:r>
      <w:r w:rsidR="00537640">
        <w:rPr>
          <w:lang w:val="en-US"/>
        </w:rPr>
        <w:t>:</w:t>
      </w:r>
    </w:p>
    <w:p w14:paraId="3A1CB180" w14:textId="6FAA4B8F" w:rsidR="00AA5B50" w:rsidRDefault="00537640" w:rsidP="00AA5B50">
      <w:pPr>
        <w:jc w:val="both"/>
        <w:rPr>
          <w:lang w:val="en-US"/>
        </w:rPr>
      </w:pPr>
      <w:proofErr w:type="gramStart"/>
      <w:r>
        <w:rPr>
          <w:lang w:val="en-US"/>
        </w:rPr>
        <w:t>So</w:t>
      </w:r>
      <w:proofErr w:type="gramEnd"/>
      <w:r>
        <w:rPr>
          <w:lang w:val="en-US"/>
        </w:rPr>
        <w:t xml:space="preserve"> it turns out people lie to each other, and pretty often, too. Especially when </w:t>
      </w:r>
      <w:proofErr w:type="gramStart"/>
      <w:r>
        <w:rPr>
          <w:lang w:val="en-US"/>
        </w:rPr>
        <w:t>there’s</w:t>
      </w:r>
      <w:proofErr w:type="gramEnd"/>
      <w:r>
        <w:rPr>
          <w:lang w:val="en-US"/>
        </w:rPr>
        <w:t xml:space="preserve"> something to be gained. In the game world, </w:t>
      </w:r>
      <w:proofErr w:type="gramStart"/>
      <w:r>
        <w:rPr>
          <w:lang w:val="en-US"/>
        </w:rPr>
        <w:t>it’s</w:t>
      </w:r>
      <w:proofErr w:type="gramEnd"/>
      <w:r>
        <w:rPr>
          <w:lang w:val="en-US"/>
        </w:rPr>
        <w:t xml:space="preserve"> no different.</w:t>
      </w:r>
    </w:p>
    <w:p w14:paraId="732199F8" w14:textId="0E1D365E" w:rsidR="00537640" w:rsidRDefault="00537640" w:rsidP="00AA5B50">
      <w:pPr>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1BB7D22" w14:textId="7DB59332" w:rsidR="00DA3D63" w:rsidRPr="00DA3D63" w:rsidRDefault="00DA3D63" w:rsidP="00AA5B50">
      <w:pPr>
        <w:jc w:val="both"/>
        <w:rPr>
          <w:color w:val="FF0000"/>
          <w:lang w:val="en-US"/>
        </w:rPr>
      </w:pPr>
      <w:r w:rsidRPr="00DA3D63">
        <w:rPr>
          <w:color w:val="FF0000"/>
          <w:lang w:val="en-US"/>
        </w:rPr>
        <w:t>&lt;TODO&gt;</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74E53D63"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25518B55" w:rsidR="00533DB8" w:rsidRPr="00AD3D7E" w:rsidRDefault="00533DB8" w:rsidP="00533DB8">
      <w:pPr>
        <w:jc w:val="both"/>
        <w:rPr>
          <w:lang w:val="en-US"/>
        </w:rPr>
      </w:pPr>
      <w:r>
        <w:rPr>
          <w:lang w:val="en-US"/>
        </w:rPr>
        <w:t>If a PC is caught in a lie, …</w:t>
      </w:r>
    </w:p>
    <w:p w14:paraId="7EBEBD00" w14:textId="3B38EB8D" w:rsidR="0027332D" w:rsidRPr="0027332D" w:rsidRDefault="0027332D" w:rsidP="0027332D">
      <w:pPr>
        <w:pStyle w:val="ListParagraph"/>
        <w:numPr>
          <w:ilvl w:val="0"/>
          <w:numId w:val="6"/>
        </w:numPr>
        <w:jc w:val="both"/>
        <w:rPr>
          <w:color w:val="FF0000"/>
          <w:lang w:val="en-US"/>
        </w:rPr>
      </w:pPr>
      <w:r w:rsidRPr="0027332D">
        <w:rPr>
          <w:color w:val="FF0000"/>
          <w:lang w:val="en-US"/>
        </w:rPr>
        <w:t>Insight vs Deflecting, Blocking</w:t>
      </w:r>
      <w:r w:rsidR="00E31ED1">
        <w:rPr>
          <w:color w:val="FF0000"/>
          <w:lang w:val="en-US"/>
        </w:rPr>
        <w:t>, Deception</w:t>
      </w:r>
    </w:p>
    <w:p w14:paraId="2B7B3F34" w14:textId="4AACEB82" w:rsidR="009945B5" w:rsidRDefault="009945B5" w:rsidP="00F01217">
      <w:pPr>
        <w:pStyle w:val="Subtitle"/>
        <w:rPr>
          <w:lang w:val="en-US"/>
        </w:rPr>
      </w:pPr>
      <w:r>
        <w:rPr>
          <w:lang w:val="en-US"/>
        </w:rPr>
        <w:t>End:</w:t>
      </w:r>
    </w:p>
    <w:p w14:paraId="0509B9F0" w14:textId="718DDEEE" w:rsidR="009945B5" w:rsidRDefault="009945B5" w:rsidP="009945B5">
      <w:pPr>
        <w:pStyle w:val="ListParagraph"/>
        <w:numPr>
          <w:ilvl w:val="0"/>
          <w:numId w:val="3"/>
        </w:numPr>
        <w:rPr>
          <w:lang w:val="en-US"/>
        </w:rPr>
      </w:pPr>
      <w:r>
        <w:rPr>
          <w:lang w:val="en-US"/>
        </w:rPr>
        <w:t>Success</w:t>
      </w:r>
    </w:p>
    <w:p w14:paraId="6AAE3EAE" w14:textId="05F48654" w:rsidR="009945B5" w:rsidRDefault="009945B5" w:rsidP="009945B5">
      <w:pPr>
        <w:pStyle w:val="ListParagraph"/>
        <w:numPr>
          <w:ilvl w:val="0"/>
          <w:numId w:val="3"/>
        </w:numPr>
        <w:rPr>
          <w:lang w:val="en-US"/>
        </w:rPr>
      </w:pPr>
      <w:r>
        <w:rPr>
          <w:lang w:val="en-US"/>
        </w:rPr>
        <w:t>Failure</w:t>
      </w:r>
    </w:p>
    <w:p w14:paraId="10D20AE0" w14:textId="6F9D9867" w:rsidR="00413C5C" w:rsidRPr="00413C5C" w:rsidRDefault="00413C5C" w:rsidP="000A22A9">
      <w:pPr>
        <w:jc w:val="both"/>
        <w:rPr>
          <w:color w:val="FF0000"/>
          <w:lang w:val="en-US"/>
        </w:rPr>
      </w:pPr>
      <w:r w:rsidRPr="00413C5C">
        <w:rPr>
          <w:color w:val="FF0000"/>
          <w:lang w:val="en-US"/>
        </w:rPr>
        <w:t>&lt;MULTIPLE PCs OR NPCs AS ONE</w:t>
      </w:r>
      <w:r>
        <w:rPr>
          <w:color w:val="FF0000"/>
          <w:lang w:val="en-US"/>
        </w:rPr>
        <w:t xml:space="preserve"> – USE RULES FOR AID</w:t>
      </w:r>
      <w:r w:rsidRPr="00413C5C">
        <w:rPr>
          <w:color w:val="FF0000"/>
          <w:lang w:val="en-US"/>
        </w:rPr>
        <w:t>&gt;</w:t>
      </w:r>
    </w:p>
    <w:sectPr w:rsidR="00413C5C" w:rsidRPr="00413C5C"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6410C" w14:textId="77777777" w:rsidR="0065024D" w:rsidRDefault="0065024D" w:rsidP="006650A3">
      <w:pPr>
        <w:spacing w:after="0" w:line="240" w:lineRule="auto"/>
      </w:pPr>
      <w:r>
        <w:separator/>
      </w:r>
    </w:p>
  </w:endnote>
  <w:endnote w:type="continuationSeparator" w:id="0">
    <w:p w14:paraId="0B7D55FF" w14:textId="77777777" w:rsidR="0065024D" w:rsidRDefault="0065024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45209" w14:textId="77777777" w:rsidR="0065024D" w:rsidRDefault="0065024D" w:rsidP="006650A3">
      <w:pPr>
        <w:spacing w:after="0" w:line="240" w:lineRule="auto"/>
      </w:pPr>
      <w:r>
        <w:separator/>
      </w:r>
    </w:p>
  </w:footnote>
  <w:footnote w:type="continuationSeparator" w:id="0">
    <w:p w14:paraId="5B33CBFA" w14:textId="77777777" w:rsidR="0065024D" w:rsidRDefault="0065024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2A9"/>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45D1"/>
    <w:rsid w:val="003A4918"/>
    <w:rsid w:val="003A7BC7"/>
    <w:rsid w:val="003B0159"/>
    <w:rsid w:val="003B092A"/>
    <w:rsid w:val="003B115C"/>
    <w:rsid w:val="003B1D4B"/>
    <w:rsid w:val="003B1FFB"/>
    <w:rsid w:val="003B26B2"/>
    <w:rsid w:val="003B2AF2"/>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10E0"/>
    <w:rsid w:val="003F1CBE"/>
    <w:rsid w:val="00400029"/>
    <w:rsid w:val="0040232C"/>
    <w:rsid w:val="00403A50"/>
    <w:rsid w:val="004049CD"/>
    <w:rsid w:val="0040513F"/>
    <w:rsid w:val="00407354"/>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1797E"/>
    <w:rsid w:val="006209EF"/>
    <w:rsid w:val="006214E2"/>
    <w:rsid w:val="00621FE8"/>
    <w:rsid w:val="0062459C"/>
    <w:rsid w:val="00625EE3"/>
    <w:rsid w:val="006337C4"/>
    <w:rsid w:val="006354A0"/>
    <w:rsid w:val="0063675D"/>
    <w:rsid w:val="0064027E"/>
    <w:rsid w:val="006405BB"/>
    <w:rsid w:val="0064646E"/>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E7B13"/>
    <w:rsid w:val="008F0790"/>
    <w:rsid w:val="008F11B3"/>
    <w:rsid w:val="008F147D"/>
    <w:rsid w:val="008F21C4"/>
    <w:rsid w:val="008F3185"/>
    <w:rsid w:val="008F3912"/>
    <w:rsid w:val="00905922"/>
    <w:rsid w:val="00906625"/>
    <w:rsid w:val="00920394"/>
    <w:rsid w:val="00920C0A"/>
    <w:rsid w:val="009210F1"/>
    <w:rsid w:val="00922B2F"/>
    <w:rsid w:val="00922E63"/>
    <w:rsid w:val="0092319C"/>
    <w:rsid w:val="00923531"/>
    <w:rsid w:val="009241A9"/>
    <w:rsid w:val="009244E7"/>
    <w:rsid w:val="00927B22"/>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3D7E"/>
    <w:rsid w:val="00AD7E7D"/>
    <w:rsid w:val="00AE149F"/>
    <w:rsid w:val="00AE1713"/>
    <w:rsid w:val="00AE1991"/>
    <w:rsid w:val="00AE2444"/>
    <w:rsid w:val="00AE3286"/>
    <w:rsid w:val="00AE4D10"/>
    <w:rsid w:val="00AF0D71"/>
    <w:rsid w:val="00AF5E20"/>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38B5"/>
    <w:rsid w:val="00BE5802"/>
    <w:rsid w:val="00BE76B6"/>
    <w:rsid w:val="00BE7F33"/>
    <w:rsid w:val="00BE7F63"/>
    <w:rsid w:val="00BF005C"/>
    <w:rsid w:val="00BF170F"/>
    <w:rsid w:val="00BF1789"/>
    <w:rsid w:val="00BF3825"/>
    <w:rsid w:val="00BF4D5A"/>
    <w:rsid w:val="00BF5044"/>
    <w:rsid w:val="00BF6B66"/>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5100E"/>
    <w:rsid w:val="00C5163C"/>
    <w:rsid w:val="00C5173F"/>
    <w:rsid w:val="00C55BA1"/>
    <w:rsid w:val="00C611E6"/>
    <w:rsid w:val="00C613AA"/>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A2CC8"/>
    <w:rsid w:val="00FA3017"/>
    <w:rsid w:val="00FA7128"/>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5</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69</cp:revision>
  <cp:lastPrinted>2019-04-27T18:37:00Z</cp:lastPrinted>
  <dcterms:created xsi:type="dcterms:W3CDTF">2017-08-25T14:37:00Z</dcterms:created>
  <dcterms:modified xsi:type="dcterms:W3CDTF">2020-08-02T23:05:00Z</dcterms:modified>
</cp:coreProperties>
</file>