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宋体"/>
          <w:b/>
          <w:i w:val="0"/>
          <w:sz w:val="40"/>
        </w:rPr>
        <w:t>少样本工业异常检测的级联式在线质检系统：</w:t>
        <w:br/>
        <w:t>双图归因范式与确定性反馈约束的设计与实证</w:t>
      </w:r>
    </w:p>
    <w:p>
      <w:pPr>
        <w:spacing w:after="80"/>
        <w:jc w:val="center"/>
      </w:pPr>
      <w:r>
        <w:rPr>
          <w:rFonts w:ascii="Times New Roman" w:hAnsi="Times New Roman" w:eastAsia="宋体"/>
          <w:b w:val="0"/>
          <w:i w:val="0"/>
          <w:sz w:val="26"/>
        </w:rPr>
        <w:t>——2026中国研究生人工智能大赛·华为赛题一《可自学习的AOI实时在线AI质检》技术方案</w:t>
      </w:r>
    </w:p>
    <w:p>
      <w:pPr>
        <w:spacing w:after="600"/>
        <w:jc w:val="center"/>
      </w:pPr>
      <w:r>
        <w:rPr>
          <w:rFonts w:ascii="Times New Roman" w:hAnsi="Times New Roman" w:eastAsia="宋体"/>
          <w:b w:val="0"/>
          <w:i w:val="0"/>
          <w:sz w:val="23"/>
        </w:rPr>
        <w:t>参赛队伍：＿＿＿＿＿＿＿＿　　提交日期：2026年8月</w:t>
      </w:r>
    </w:p>
    <w:p>
      <w:pPr>
        <w:pStyle w:val="Heading2"/>
        <w:spacing w:before="280" w:after="160"/>
      </w:pPr>
      <w:r>
        <w:rPr>
          <w:rFonts w:ascii="Times New Roman" w:hAnsi="Times New Roman" w:eastAsia="黑体"/>
        </w:rPr>
        <w:t>摘要</w:t>
      </w:r>
    </w:p>
    <w:p>
      <w:pPr>
        <w:spacing w:after="160"/>
        <w:ind w:firstLine="420"/>
      </w:pPr>
      <w:r>
        <w:rPr>
          <w:rFonts w:ascii="Times New Roman" w:hAnsi="Times New Roman" w:eastAsia="宋体"/>
          <w:b w:val="0"/>
          <w:i w:val="0"/>
          <w:sz w:val="24"/>
        </w:rPr>
        <w:t>工业外观检测(AOI)的少样本迁移场景要求系统在现场用极少量样本（本赛题为100张正常图与30张缺陷标注图）完成检测、定位与缺陷分类三项任务，并对之后的连续测试流保持毫秒级响应。现有的记忆库类方法（如PatchCore [1]）对现场样本覆盖度敏感，且推理延时随样本量增长，与迁移不计时、推理强计时的赛题约束存在结构性冲突；而缺陷类型归属任务中，“缺件少件”“尺寸偏差”“逻辑错误”三类本质上是比较性判断——脱离参照物，任何单图判别式方法都无法确认“这里本该有什么”。同时，操作员实时反馈驱动的自学习闭环若将新增反馈样本简单并入统计标定集，会引入一个隐藏的净负通道：单个反馈样本可能在近似并列的候选阈值间引发随机跳变，把一次反馈放大为全线误报的上升。</w:t>
      </w:r>
    </w:p>
    <w:p>
      <w:pPr>
        <w:spacing w:after="160"/>
        <w:ind w:firstLine="420"/>
      </w:pPr>
      <w:r>
        <w:rPr>
          <w:rFonts w:ascii="Times New Roman" w:hAnsi="Times New Roman" w:eastAsia="宋体"/>
          <w:b w:val="0"/>
          <w:i w:val="0"/>
          <w:sz w:val="24"/>
        </w:rPr>
        <w:t>本文提出一套检测—定位—归因—反馈四阶段级联系统：检测层由EfficientAD师生蒸馏网络[2]与DINOv2 [3]图级协同检测门构成受控平等融合，解决单一检测器的系统性漏判；定位层采用浅层卷积特征上的双头联合监督训练分割网络，并由MobileSAM [5]受控精化边界；归因层提出双图对比范式——在待判图旁提供同坐标裁剪的正常参考图，让视觉语言大模型在fit期（赛题规定不计时）一次性完成30张缺陷图的类型标注并蒸馏为轻量质心分类器，推理期零外部依赖；反馈层将操作员反馈从“统计投票”重新设计为“确定性硬约束”，通过六轮端到端留出验证排除了三条存在隐藏净负通道的直觉设计。全部候选改动均在真实留出/交叉验证数据上接受统一判据（中位数增益≥0.005、均值为正、过半类目为正、最差类目跌幅不超过0.01）方可进入生产，已验证的十余项候选中仅监督分割头的双头联合训练一项通过验收。</w:t>
      </w:r>
    </w:p>
    <w:p>
      <w:pPr>
        <w:spacing w:after="160"/>
        <w:ind w:firstLine="420"/>
      </w:pPr>
      <w:r>
        <w:rPr>
          <w:rFonts w:ascii="Times New Roman" w:hAnsi="Times New Roman" w:eastAsia="宋体"/>
          <w:b w:val="0"/>
          <w:i w:val="0"/>
          <w:sz w:val="24"/>
        </w:rPr>
        <w:t>在5个工业品类混合一次迁移、逐图判定的赛题协议下，三次独立随机抽样的图级判定准确率为0.887±0.023，框命中率（IoU≥0.5）为0.373±0.020；在与赛题隐藏测试域最接近的真实手机屏幕缺陷数据上，框命中率达到0.697±0.073，是本文全部实验中定位精度最高的读数。缺陷类型归属准确率由启发式基线的38%提升至双图归因范式端到端的74%。在赛题真实2500×2500输入尺寸下单图检测时延中位数为110毫秒（预算200毫秒），且核心频率降低33%后中位延时基本不变，表明该系统在此分辨率下不受GPU算力瓶颈约束。本文同时如实报告已验证为负的改动、方法论层面的失败教训，以及当前系统在逻辑异常类缺陷、极小尺度缺陷与算力受限设备上的边界。</w:t>
      </w:r>
    </w:p>
    <w:p>
      <w:pPr>
        <w:spacing w:after="480"/>
      </w:pPr>
      <w:r>
        <w:rPr>
          <w:rFonts w:ascii="Times New Roman" w:hAnsi="Times New Roman" w:eastAsia="宋体"/>
          <w:b w:val="0"/>
          <w:i/>
          <w:sz w:val="22"/>
        </w:rPr>
        <w:t>关键词：少样本异常检测；工业外观检测；视觉语言模型；缺陷定位；人机协同反馈学习；消融验证方法论</w:t>
      </w:r>
    </w:p>
    <w:p>
      <w:r>
        <w:br w:type="page"/>
      </w:r>
    </w:p>
    <w:p>
      <w:pPr>
        <w:pStyle w:val="Heading2"/>
        <w:spacing w:before="280" w:after="160"/>
      </w:pPr>
      <w:r>
        <w:rPr>
          <w:rFonts w:ascii="Times New Roman" w:hAnsi="Times New Roman" w:eastAsia="黑体"/>
        </w:rPr>
        <w:t>创新点一览</w:t>
      </w:r>
    </w:p>
    <w:p>
      <w:pPr>
        <w:spacing w:after="160"/>
        <w:ind w:firstLine="420"/>
      </w:pPr>
      <w:r>
        <w:rPr>
          <w:rFonts w:ascii="Times New Roman" w:hAnsi="Times New Roman" w:eastAsia="宋体"/>
          <w:b w:val="0"/>
          <w:i w:val="0"/>
          <w:sz w:val="24"/>
        </w:rPr>
        <w:t>本方案的创新点均来自对赛题三条硬约束（跨域迁移、非对称计时、200毫秒延时预算，见第1.1节）的针对性回应，而非通用架构的堆叠。下表逐条给出常规做法在本赛题场景下的具体局限、本方案的设计应对、以及支撑该设计的量化实证，详细展开见括号标注的章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eastAsia="黑体"/>
                <w:b/>
                <w:sz w:val="21"/>
              </w:rPr>
              <w:t>创新点</w:t>
            </w:r>
          </w:p>
        </w:tc>
        <w:tc>
          <w:tcPr>
            <w:tcW w:type="dxa" w:w="2160"/>
          </w:tcPr>
          <w:p>
            <w:pPr>
              <w:jc w:val="center"/>
            </w:pPr>
            <w:r/>
            <w:r>
              <w:rPr>
                <w:rFonts w:eastAsia="黑体"/>
                <w:b/>
                <w:sz w:val="21"/>
              </w:rPr>
              <w:t>常规做法的局限</w:t>
            </w:r>
          </w:p>
        </w:tc>
        <w:tc>
          <w:tcPr>
            <w:tcW w:type="dxa" w:w="2160"/>
          </w:tcPr>
          <w:p>
            <w:pPr>
              <w:jc w:val="center"/>
            </w:pPr>
            <w:r/>
            <w:r>
              <w:rPr>
                <w:rFonts w:eastAsia="黑体"/>
                <w:b/>
                <w:sz w:val="21"/>
              </w:rPr>
              <w:t>本方案设计</w:t>
            </w:r>
          </w:p>
        </w:tc>
        <w:tc>
          <w:tcPr>
            <w:tcW w:type="dxa" w:w="2160"/>
          </w:tcPr>
          <w:p>
            <w:pPr>
              <w:jc w:val="center"/>
            </w:pPr>
            <w:r/>
            <w:r>
              <w:rPr>
                <w:rFonts w:eastAsia="黑体"/>
                <w:b/>
                <w:sz w:val="21"/>
              </w:rPr>
              <w:t>量化证据</w:t>
            </w:r>
          </w:p>
        </w:tc>
      </w:tr>
      <w:tr>
        <w:tc>
          <w:tcPr>
            <w:tcW w:type="dxa" w:w="2160"/>
          </w:tcPr>
          <w:p>
            <w:pPr>
              <w:jc w:val="center"/>
            </w:pPr>
            <w:r/>
            <w:r>
              <w:rPr>
                <w:rFonts w:eastAsia="宋体"/>
                <w:sz w:val="21"/>
              </w:rPr>
              <w:t>① 双图归因范式（第3.4、4.6节）</w:t>
            </w:r>
          </w:p>
        </w:tc>
        <w:tc>
          <w:tcPr>
            <w:tcW w:type="dxa" w:w="2160"/>
          </w:tcPr>
          <w:p>
            <w:pPr>
              <w:jc w:val="center"/>
            </w:pPr>
            <w:r/>
            <w:r>
              <w:rPr>
                <w:rFonts w:eastAsia="宋体"/>
                <w:sz w:val="21"/>
              </w:rPr>
              <w:t>单图判别式方法无参照物，无法判断“这里本该有什么”，对赛题“缺件少件/尺寸偏差/逻辑错误”三类比较性缺陷结构性失效</w:t>
            </w:r>
          </w:p>
        </w:tc>
        <w:tc>
          <w:tcPr>
            <w:tcW w:type="dxa" w:w="2160"/>
          </w:tcPr>
          <w:p>
            <w:pPr>
              <w:jc w:val="center"/>
            </w:pPr>
            <w:r/>
            <w:r>
              <w:rPr>
                <w:rFonts w:eastAsia="宋体"/>
                <w:sz w:val="21"/>
              </w:rPr>
              <w:t>向视觉语言模型同时提供待判图与同坐标裁剪的正常参考图，把比较性判断显式交给模型的跨图推理能力</w:t>
            </w:r>
          </w:p>
        </w:tc>
        <w:tc>
          <w:tcPr>
            <w:tcW w:type="dxa" w:w="2160"/>
          </w:tcPr>
          <w:p>
            <w:pPr>
              <w:jc w:val="center"/>
            </w:pPr>
            <w:r/>
            <w:r>
              <w:rPr>
                <w:rFonts w:eastAsia="宋体"/>
                <w:sz w:val="21"/>
              </w:rPr>
              <w:t>同批测试样本仅改变是否提供参考图：缺件类判别5/12→9/12；端到端类型归属38%→74%</w:t>
            </w:r>
          </w:p>
        </w:tc>
      </w:tr>
      <w:tr>
        <w:tc>
          <w:tcPr>
            <w:tcW w:type="dxa" w:w="2160"/>
          </w:tcPr>
          <w:p>
            <w:pPr>
              <w:jc w:val="center"/>
            </w:pPr>
            <w:r/>
            <w:r>
              <w:rPr>
                <w:rFonts w:eastAsia="宋体"/>
                <w:sz w:val="21"/>
              </w:rPr>
              <w:t>② “迁移期蒸馏、推理期零依赖”落地范式（第3.4节）</w:t>
            </w:r>
          </w:p>
        </w:tc>
        <w:tc>
          <w:tcPr>
            <w:tcW w:type="dxa" w:w="2160"/>
          </w:tcPr>
          <w:p>
            <w:pPr>
              <w:jc w:val="center"/>
            </w:pPr>
            <w:r/>
            <w:r>
              <w:rPr>
                <w:rFonts w:eastAsia="宋体"/>
                <w:sz w:val="21"/>
              </w:rPr>
              <w:t>视觉语言模型若在推理期实时调用，与断网部署、200ms延时预算直接冲突；完全弃用则损失语义判别能力</w:t>
            </w:r>
          </w:p>
        </w:tc>
        <w:tc>
          <w:tcPr>
            <w:tcW w:type="dxa" w:w="2160"/>
          </w:tcPr>
          <w:p>
            <w:pPr>
              <w:jc w:val="center"/>
            </w:pPr>
            <w:r/>
            <w:r>
              <w:rPr>
                <w:rFonts w:eastAsia="宋体"/>
                <w:sz w:val="21"/>
              </w:rPr>
              <w:t>仅在fit期（赛题规定不计时）对30张缺陷图调用一次，标签蒸馏为几十字节的质心分类器，推理期零外部依赖</w:t>
            </w:r>
          </w:p>
        </w:tc>
        <w:tc>
          <w:tcPr>
            <w:tcW w:type="dxa" w:w="2160"/>
          </w:tcPr>
          <w:p>
            <w:pPr>
              <w:jc w:val="center"/>
            </w:pPr>
            <w:r/>
            <w:r>
              <w:rPr>
                <w:rFonts w:eastAsia="宋体"/>
                <w:sz w:val="21"/>
              </w:rPr>
              <w:t>无密钥/无网络/超时/解析失败任一环断开均自动降级为启发式，检测与定位不受影响；评委机无外网可直接运行</w:t>
            </w:r>
          </w:p>
        </w:tc>
      </w:tr>
      <w:tr>
        <w:tc>
          <w:tcPr>
            <w:tcW w:type="dxa" w:w="2160"/>
          </w:tcPr>
          <w:p>
            <w:pPr>
              <w:jc w:val="center"/>
            </w:pPr>
            <w:r/>
            <w:r>
              <w:rPr>
                <w:rFonts w:eastAsia="宋体"/>
                <w:sz w:val="21"/>
              </w:rPr>
              <w:t>③ 正交双判据受控融合检测门（第3.2节）</w:t>
            </w:r>
          </w:p>
        </w:tc>
        <w:tc>
          <w:tcPr>
            <w:tcW w:type="dxa" w:w="2160"/>
          </w:tcPr>
          <w:p>
            <w:pPr>
              <w:jc w:val="center"/>
            </w:pPr>
            <w:r/>
            <w:r>
              <w:rPr>
                <w:rFonts w:eastAsia="宋体"/>
                <w:sz w:val="21"/>
              </w:rPr>
              <w:t>单一检测器在特定品类上出现系统性漏判（非随机误差，而是该品类异常特征与正常特征在其特征空间中重叠）</w:t>
            </w:r>
          </w:p>
        </w:tc>
        <w:tc>
          <w:tcPr>
            <w:tcW w:type="dxa" w:w="2160"/>
          </w:tcPr>
          <w:p>
            <w:pPr>
              <w:jc w:val="center"/>
            </w:pPr>
            <w:r/>
            <w:r>
              <w:rPr>
                <w:rFonts w:eastAsia="宋体"/>
                <w:sz w:val="21"/>
              </w:rPr>
              <w:t>引入与主检测器误差不相关的DINOv2自监督特征作独立判据，两路标准化分数取逐图最大值（而非加权平均）</w:t>
            </w:r>
          </w:p>
        </w:tc>
        <w:tc>
          <w:tcPr>
            <w:tcW w:type="dxa" w:w="2160"/>
          </w:tcPr>
          <w:p>
            <w:pPr>
              <w:jc w:val="center"/>
            </w:pPr>
            <w:r/>
            <w:r>
              <w:rPr>
                <w:rFonts w:eastAsia="宋体"/>
                <w:sz w:val="21"/>
              </w:rPr>
              <w:t>移除该判据后受影响品类图级判定准确率由0.811骤降至0.171，证实其为不可裁剪组件</w:t>
            </w:r>
          </w:p>
        </w:tc>
      </w:tr>
      <w:tr>
        <w:tc>
          <w:tcPr>
            <w:tcW w:type="dxa" w:w="2160"/>
          </w:tcPr>
          <w:p>
            <w:pPr>
              <w:jc w:val="center"/>
            </w:pPr>
            <w:r/>
            <w:r>
              <w:rPr>
                <w:rFonts w:eastAsia="宋体"/>
                <w:sz w:val="21"/>
              </w:rPr>
              <w:t>④ 反馈闭环的确定性硬约束机制（第3.5、4.7节）</w:t>
            </w:r>
          </w:p>
        </w:tc>
        <w:tc>
          <w:tcPr>
            <w:tcW w:type="dxa" w:w="2160"/>
          </w:tcPr>
          <w:p>
            <w:pPr>
              <w:jc w:val="center"/>
            </w:pPr>
            <w:r/>
            <w:r>
              <w:rPr>
                <w:rFonts w:eastAsia="宋体"/>
                <w:sz w:val="21"/>
              </w:rPr>
              <w:t>操作员反馈样本若并入统计标定集重新估计阈值，单个样本可能使最优阈值在近似并列的候选间发生与样本本身无关的跳变</w:t>
            </w:r>
          </w:p>
        </w:tc>
        <w:tc>
          <w:tcPr>
            <w:tcW w:type="dxa" w:w="2160"/>
          </w:tcPr>
          <w:p>
            <w:pPr>
              <w:jc w:val="center"/>
            </w:pPr>
            <w:r/>
            <w:r>
              <w:rPr>
                <w:rFonts w:eastAsia="宋体"/>
                <w:sz w:val="21"/>
              </w:rPr>
              <w:t>阈值更新与分割网络重训练解耦：前者仅接受确定性方向约束（漏检下调、误检上调），并以迁移集误报率10%为硬上限兜底</w:t>
            </w:r>
          </w:p>
        </w:tc>
        <w:tc>
          <w:tcPr>
            <w:tcW w:type="dxa" w:w="2160"/>
          </w:tcPr>
          <w:p>
            <w:pPr>
              <w:jc w:val="center"/>
            </w:pPr>
            <w:r/>
            <w:r>
              <w:rPr>
                <w:rFonts w:eastAsia="宋体"/>
                <w:sz w:val="21"/>
              </w:rPr>
              <w:t>六轮端到端留出验证：直接重新估计一次使阈值跳变0.35，留出误报+15.5个百分点仅换回召回+3.2个百分点；最终方案在同等条件下逐位复现基线（表10）</w:t>
            </w:r>
          </w:p>
        </w:tc>
      </w:tr>
      <w:tr>
        <w:tc>
          <w:tcPr>
            <w:tcW w:type="dxa" w:w="2160"/>
          </w:tcPr>
          <w:p>
            <w:pPr>
              <w:jc w:val="center"/>
            </w:pPr>
            <w:r/>
            <w:r>
              <w:rPr>
                <w:rFonts w:eastAsia="宋体"/>
                <w:sz w:val="21"/>
              </w:rPr>
              <w:t>⑤ 面向未知部署域的量化零回退验证方法论（第3.6、4.4节）</w:t>
            </w:r>
          </w:p>
        </w:tc>
        <w:tc>
          <w:tcPr>
            <w:tcW w:type="dxa" w:w="2160"/>
          </w:tcPr>
          <w:p>
            <w:pPr>
              <w:jc w:val="center"/>
            </w:pPr>
            <w:r/>
            <w:r>
              <w:rPr>
                <w:rFonts w:eastAsia="宋体"/>
                <w:sz w:val="21"/>
              </w:rPr>
              <w:t>仅凭单次实验或“看起来更好”的直觉判断候选改动是否可用，在部署目标完全未知的场景下无法评估最坏情形风险</w:t>
            </w:r>
          </w:p>
        </w:tc>
        <w:tc>
          <w:tcPr>
            <w:tcW w:type="dxa" w:w="2160"/>
          </w:tcPr>
          <w:p>
            <w:pPr>
              <w:jc w:val="center"/>
            </w:pPr>
            <w:r/>
            <w:r>
              <w:rPr>
                <w:rFonts w:eastAsia="宋体"/>
                <w:sz w:val="21"/>
              </w:rPr>
              <w:t>统一判据：真实留出/交叉验证数据上中位数增益≥0.005、均值为正、过半品类为正、最差品类跌幅≤0.01，四条件同时满足才准入</w:t>
            </w:r>
          </w:p>
        </w:tc>
        <w:tc>
          <w:tcPr>
            <w:tcW w:type="dxa" w:w="2160"/>
          </w:tcPr>
          <w:p>
            <w:pPr>
              <w:jc w:val="center"/>
            </w:pPr>
            <w:r/>
            <w:r>
              <w:rPr>
                <w:rFonts w:eastAsia="宋体"/>
                <w:sz w:val="21"/>
              </w:rPr>
              <w:t>十余候选中仅1项通过；一项仅测缺陷图召回的候选被误判为正收益，补测正常图后发现图级判定准确率实为0.902→0.703的净负</w:t>
            </w:r>
          </w:p>
        </w:tc>
      </w:tr>
    </w:tbl>
    <w:p>
      <w:pPr>
        <w:spacing w:after="40"/>
      </w:pPr>
    </w:p>
    <w:p>
      <w:pPr>
        <w:spacing w:after="200"/>
      </w:pPr>
      <w:r>
        <w:rPr>
          <w:rFonts w:ascii="Times New Roman" w:hAnsi="Times New Roman" w:eastAsia="宋体"/>
          <w:b w:val="0"/>
          <w:i/>
          <w:sz w:val="19"/>
        </w:rPr>
        <w:t>表A 创新点一览。全部证据均为可复现实测结果（复现脚本见项目内部结果报告文档），不引用未经验证的估计值。</w:t>
      </w:r>
    </w:p>
    <w:p>
      <w:r>
        <w:br w:type="page"/>
      </w:r>
    </w:p>
    <w:p>
      <w:pPr>
        <w:pStyle w:val="Heading2"/>
        <w:spacing w:before="280" w:after="160"/>
      </w:pPr>
      <w:r>
        <w:rPr>
          <w:rFonts w:ascii="Times New Roman" w:hAnsi="Times New Roman" w:eastAsia="黑体"/>
        </w:rPr>
        <w:t>目录</w:t>
      </w:r>
    </w:p>
    <w:p>
      <w:r>
        <w:fldChar w:fldCharType="begin"/>
        <w:instrText xml:space="preserve">TOC \o "1-2" \h \z \u</w:instrText>
        <w:fldChar w:fldCharType="separate"/>
        <w:fldChar w:fldCharType="end"/>
      </w:r>
    </w:p>
    <w:p>
      <w:pPr>
        <w:spacing w:after="120"/>
      </w:pPr>
      <w:r>
        <w:rPr>
          <w:rFonts w:ascii="Times New Roman" w:hAnsi="Times New Roman" w:eastAsia="宋体"/>
          <w:b w:val="0"/>
          <w:i/>
          <w:sz w:val="19"/>
        </w:rPr>
        <w:t>（此域在Word中打开后自动生成目录；若显示为域代码或空白，请全选该区域后按F9更新域，或右键选择“更新域”）</w:t>
      </w:r>
    </w:p>
    <w:p>
      <w:r>
        <w:br w:type="page"/>
      </w:r>
    </w:p>
    <w:p>
      <w:pPr>
        <w:pStyle w:val="Heading1"/>
        <w:spacing w:before="280" w:after="160"/>
      </w:pPr>
      <w:r>
        <w:rPr>
          <w:rFonts w:ascii="Times New Roman" w:hAnsi="Times New Roman" w:eastAsia="黑体"/>
        </w:rPr>
        <w:t>1 引言</w:t>
      </w:r>
    </w:p>
    <w:p>
      <w:pPr>
        <w:pStyle w:val="Heading2"/>
        <w:spacing w:before="280" w:after="160"/>
      </w:pPr>
      <w:r>
        <w:rPr>
          <w:rFonts w:ascii="Times New Roman" w:hAnsi="Times New Roman" w:eastAsia="黑体"/>
        </w:rPr>
        <w:t>1.1 任务定义与硬约束</w:t>
      </w:r>
    </w:p>
    <w:p>
      <w:pPr>
        <w:spacing w:after="160"/>
        <w:ind w:firstLine="420"/>
      </w:pPr>
      <w:r>
        <w:rPr>
          <w:rFonts w:ascii="Times New Roman" w:hAnsi="Times New Roman" w:eastAsia="宋体"/>
          <w:b w:val="0"/>
          <w:i w:val="0"/>
          <w:sz w:val="24"/>
        </w:rPr>
        <w:t>赛题要求系统在评审现场以未知产品的100张正常图与30张缺陷标注图完成现场迁移，随后对不少于1000张的连续测试流逐图输出是否缺陷、缺陷位置与缺陷类型，单张图像在RTX 2060上的推理时延须低于200毫秒；测试产品对参赛队伍保密，赛题隐藏测试域为手机部件（屏幕、电池、中框等）。原文进一步要求系统支持操作员对误检、漏检的实时反馈，并能回溯检测逻辑、动态调整模型参数。</w:t>
      </w:r>
    </w:p>
    <w:p>
      <w:pPr>
        <w:spacing w:after="160"/>
        <w:ind w:firstLine="420"/>
      </w:pPr>
      <w:r>
        <w:rPr>
          <w:rFonts w:ascii="Times New Roman" w:hAnsi="Times New Roman" w:eastAsia="宋体"/>
          <w:b w:val="0"/>
          <w:i w:val="0"/>
          <w:sz w:val="24"/>
        </w:rPr>
        <w:t>这一协议给系统设计施加了三条不可回避的约束：其一，跨域约束——目标产品在提交时未知，系统不能针对特定产品预训练，“正常”的定义必须完全在现场用那100张图即时建立；其二，非对称计时约束——原文明确迁移阶段不计时、推理阶段强计时，这意味着一切可以离线完成的计算（网络训练、阈值标定、外部大模型调用）都应当被推向迁移阶段，推理阶段只保留必要的前向计算；其三，硬延时约束——200毫秒的预算在2500×2500的原始分辨率下并不宽裕，任何新增模块都需要有明确的延时代价核算。本文的绝大多数设计决策都可以追溯到这三条约束之一。</w:t>
      </w:r>
    </w:p>
    <w:p>
      <w:pPr>
        <w:pStyle w:val="Heading2"/>
        <w:spacing w:before="280" w:after="160"/>
      </w:pPr>
      <w:r>
        <w:rPr>
          <w:rFonts w:ascii="Times New Roman" w:hAnsi="Times New Roman" w:eastAsia="黑体"/>
        </w:rPr>
        <w:t>1.2 现有方法的局限</w:t>
      </w:r>
    </w:p>
    <w:p>
      <w:pPr>
        <w:spacing w:after="160"/>
        <w:ind w:firstLine="420"/>
      </w:pPr>
      <w:r>
        <w:rPr>
          <w:rFonts w:ascii="Times New Roman" w:hAnsi="Times New Roman" w:eastAsia="宋体"/>
          <w:b w:val="0"/>
          <w:i w:val="0"/>
          <w:sz w:val="24"/>
        </w:rPr>
        <w:t>以PatchCore [1]为代表的记忆库类少样本异常检测方法，将正常样本的特征直接存入检索库，推理时计算待测特征到库的最近邻距离作为异常分数。该范式在正常样本覆盖充分时精度良好，但存在两个与本赛题约束相悖的性质：其一，推理延时与检索库规模正相关，样本量增长会直接推高单图时延；其二，对现场100张正常图的代表性高度敏感，一旦正常样本本身存在多种子模态（例如同一产品的不同批次或角度），检索库的判别力会明显下降。EfficientAD [2]采用师生知识蒸馏范式，将“正常”编码进网络权重而非检索库，推理是一次固定开销的前向计算，时延与样本量解耦——这一性质与迁移不计时、推理强计时的赛题约束直接匹配，是本文选择该范式作为检测主干的直接原因。</w:t>
      </w:r>
    </w:p>
    <w:p>
      <w:pPr>
        <w:spacing w:after="160"/>
        <w:ind w:firstLine="420"/>
      </w:pPr>
      <w:r>
        <w:rPr>
          <w:rFonts w:ascii="Times New Roman" w:hAnsi="Times New Roman" w:eastAsia="宋体"/>
          <w:b w:val="0"/>
          <w:i w:val="0"/>
          <w:sz w:val="24"/>
        </w:rPr>
        <w:t>缺陷类型归属任务上，直接复用检测分支的异常分数做类型判别是一种常见但存在根本缺陷的做法：这些分数是为区分“正常/异常”而优化的，并不携带类型信息。更深层的困难在于，赛题划定的“缺件少件”“尺寸偏差”“逻辑错误”三类缺陷本质上是比较性的——判断“这里少了一个元件”或“这个尺寸不对”，前提是知道“正常情况下这里应该是什么样”。脱离参照物的单图判别式方法在这三类上存在结构性盲区，这一点在第3.4节和第4.6节的实测中将具体展现。</w:t>
      </w:r>
    </w:p>
    <w:p>
      <w:pPr>
        <w:spacing w:after="160"/>
        <w:ind w:firstLine="420"/>
      </w:pPr>
      <w:r>
        <w:rPr>
          <w:rFonts w:ascii="Times New Roman" w:hAnsi="Times New Roman" w:eastAsia="宋体"/>
          <w:b w:val="0"/>
          <w:i w:val="0"/>
          <w:sz w:val="24"/>
        </w:rPr>
        <w:t>人机协同反馈学习方面，将操作员的实时反馈直接并入现有的统计标定流程是一种直觉上自然的做法：反馈样本被视为额外的一条标定数据，与原有100+30张样本一起重新估计判决阈值。第4.7节的端到端留出验证将说明，这一直觉在本系统的具体判决机制下并不成立——当阈值由跨越两类分数分布的候选点集合按平衡准确率选取时，单个反馈样本可能使最优候选点在若干近似并列的位置之间发生与该样本本身无关的跳变，从而把一次真实的反馈放大为与之不成比例的判决扰动。</w:t>
      </w:r>
    </w:p>
    <w:p>
      <w:pPr>
        <w:pStyle w:val="Heading2"/>
        <w:spacing w:before="280" w:after="160"/>
      </w:pPr>
      <w:r>
        <w:rPr>
          <w:rFonts w:ascii="Times New Roman" w:hAnsi="Times New Roman" w:eastAsia="黑体"/>
        </w:rPr>
        <w:t>1.3 本文贡献</w:t>
      </w:r>
    </w:p>
    <w:p>
      <w:pPr>
        <w:spacing w:after="160"/>
        <w:ind w:firstLine="420"/>
      </w:pPr>
      <w:r>
        <w:rPr>
          <w:rFonts w:ascii="Times New Roman" w:hAnsi="Times New Roman" w:eastAsia="宋体"/>
          <w:b w:val="0"/>
          <w:i w:val="0"/>
          <w:sz w:val="24"/>
        </w:rPr>
        <w:t>本文提出检测—定位—归因—反馈四阶段级联架构作为整体载体（第3.1节），将定位、归因两层的执行严格限定在检测层判定为异常之后，使正常样本（真实产线中占多数）保持早退路径，直接服务于第1.1节的硬延时约束。在此载体之上，本文的具体贡献可归纳为五点（对应创新点一览表A①–⑤）：</w:t>
      </w:r>
    </w:p>
    <w:p>
      <w:pPr>
        <w:pStyle w:val="ListNumber"/>
      </w:pPr>
      <w:r>
        <w:rPr>
          <w:sz w:val="24"/>
        </w:rPr>
        <w:t>双图归因范式。提出在视觉语言模型的归因提示中同时提供待判图与同坐标裁剪的正常参考图，将比较性判断显式交给模型的跨图推理能力，而非依赖单图特征蒸馏。该设计使端到端缺陷类型归属准确率由启发式基线的38%提升至74%（第4.6节）。</w:t>
      </w:r>
    </w:p>
    <w:p>
      <w:pPr>
        <w:pStyle w:val="ListNumber"/>
      </w:pPr>
      <w:r>
        <w:rPr>
          <w:sz w:val="24"/>
        </w:rPr>
        <w:t>“迁移期蒸馏、推理期零依赖”的大模型落地范式。视觉语言模型仅在fit期（赛题规定不计时）对30张缺陷图调用一次，标签蒸馏为轻量质心分类器，推理期不产生任何外部API调用，满足赛题的实时性与断网部署要求（第3.4节）。</w:t>
      </w:r>
    </w:p>
    <w:p>
      <w:pPr>
        <w:pStyle w:val="ListNumber"/>
      </w:pPr>
      <w:r>
        <w:rPr>
          <w:sz w:val="24"/>
        </w:rPr>
        <w:t>正交双判据受控融合检测门。针对单一检测器在特定品类上的系统性漏判（并非随机误差，而是该品类异常特征与正常特征在其特征空间中重叠），引入与之误差不相关的DINOv2自监督特征作独立判据，取逐图最大值而非加权平均——移除该判据后受影响品类图级准确率由0.811骤降至0.171，证实其为不可裁剪组件（第3.2节）。</w:t>
      </w:r>
    </w:p>
    <w:p>
      <w:pPr>
        <w:pStyle w:val="ListNumber"/>
      </w:pPr>
      <w:r>
        <w:rPr>
          <w:sz w:val="24"/>
        </w:rPr>
        <w:t>反馈闭环的确定性硬约束机制。将操作员反馈从“加入统计标定集重新投票”重新设计为“对判决阈值施加方向性约束”，并以fit集误报率上限兜底，避免单样本反馈引发不可控的阈值跳变。该机制经六轮端到端留出验证收敛，过程中排除的三条直觉设计均在真实数据上暴露了具体的失效机制（第4.7节）。</w:t>
      </w:r>
    </w:p>
    <w:p>
      <w:pPr>
        <w:pStyle w:val="ListNumber"/>
      </w:pPr>
      <w:r>
        <w:rPr>
          <w:sz w:val="24"/>
        </w:rPr>
        <w:t>面向未知部署域的量化零回退验证方法论。为十余项候选改动统一设定基于真实留出/交叉验证数据的四条件准入判据，如实记录全部验证为负的候选及其失效原因，并将该方法论本身作为可复用的工程实践加以报告（第3.6、4.4节）。</w:t>
      </w:r>
    </w:p>
    <w:p>
      <w:pPr>
        <w:spacing w:after="80"/>
      </w:pPr>
    </w:p>
    <w:p>
      <w:r>
        <w:br w:type="page"/>
      </w:r>
    </w:p>
    <w:p>
      <w:pPr>
        <w:pStyle w:val="Heading1"/>
        <w:spacing w:before="280" w:after="160"/>
      </w:pPr>
      <w:r>
        <w:rPr>
          <w:rFonts w:ascii="Times New Roman" w:hAnsi="Times New Roman" w:eastAsia="黑体"/>
        </w:rPr>
        <w:t>2 相关工作</w:t>
      </w:r>
    </w:p>
    <w:p>
      <w:pPr>
        <w:pStyle w:val="Heading2"/>
        <w:spacing w:before="280" w:after="160"/>
      </w:pPr>
      <w:r>
        <w:rPr>
          <w:rFonts w:ascii="Times New Roman" w:hAnsi="Times New Roman" w:eastAsia="黑体"/>
        </w:rPr>
        <w:t>2.1 少样本工业异常检测</w:t>
      </w:r>
    </w:p>
    <w:p>
      <w:pPr>
        <w:spacing w:after="160"/>
        <w:ind w:firstLine="420"/>
      </w:pPr>
      <w:r>
        <w:rPr>
          <w:rFonts w:ascii="Times New Roman" w:hAnsi="Times New Roman" w:eastAsia="宋体"/>
          <w:b w:val="0"/>
          <w:i w:val="0"/>
          <w:sz w:val="24"/>
        </w:rPr>
        <w:t>MVTec AD [4]作为该领域最常用的基准数据集，推动了以PatchCore [1]为代表的记忆库类方法与以EfficientAD [2]为代表的师生蒸馏类方法的发展。前者在样本充分、推理延时不敏感的场景下具有精度优势；后者将正常分布编码进网络参数，牺牲部分记忆库方法在小样本上的精细判别力，换取与样本量无关的固定推理开销。本文选择后者作为检测主干，并额外引入DINOv2 [3]自监督特征构成独立的第二判据，以弥补单一师生网络在个别品类上的系统性漏判——该设计的实测收益与代价见第3.2节。MVTec LOCO AD [6]与Real-IAD [7]进一步将异常类型扩展到逻辑约束违反（对象缺失、位置错误、数量错误）与更贴近产线的多品类真实缺陷，本文用二者构建覆盖赛题5类缺陷定义的分层评测（第4.2节）。</w:t>
      </w:r>
    </w:p>
    <w:p>
      <w:pPr>
        <w:pStyle w:val="Heading2"/>
        <w:spacing w:before="280" w:after="160"/>
      </w:pPr>
      <w:r>
        <w:rPr>
          <w:rFonts w:ascii="Times New Roman" w:hAnsi="Times New Roman" w:eastAsia="黑体"/>
        </w:rPr>
        <w:t>2.2 视觉语言模型用于细粒度缺陷归因</w:t>
      </w:r>
    </w:p>
    <w:p>
      <w:pPr>
        <w:spacing w:after="160"/>
        <w:ind w:firstLine="420"/>
      </w:pPr>
      <w:r>
        <w:rPr>
          <w:rFonts w:ascii="Times New Roman" w:hAnsi="Times New Roman" w:eastAsia="宋体"/>
          <w:b w:val="0"/>
          <w:i w:val="0"/>
          <w:sz w:val="24"/>
        </w:rPr>
        <w:t>近年的视觉语言模型（如Qwen-VL [8]）具备跨图对比与自然语言描述能力，为缺陷类型这类依赖语义与常识的判别任务提供了新的解决路径。本文的做法与直接在推理期调用视觉语言模型的思路不同：受限于赛题的实时性与断网部署要求，本文仅在迁移阶段（不计时）调用一次视觉语言模型，为30张缺陷标注图生成类型标签，并将标签蒸馏为一个基于位置匹配特征的质心分类器，推理阶段不再产生任何外部依赖。这一“迁移期蒸馏、推理期免API”的设计模式是本文应对赛题非对称计时约束的直接体现。</w:t>
      </w:r>
    </w:p>
    <w:p>
      <w:pPr>
        <w:pStyle w:val="Heading2"/>
        <w:spacing w:before="280" w:after="160"/>
      </w:pPr>
      <w:r>
        <w:rPr>
          <w:rFonts w:ascii="Times New Roman" w:hAnsi="Times New Roman" w:eastAsia="黑体"/>
        </w:rPr>
        <w:t>2.3 人机协同反馈学习</w:t>
      </w:r>
    </w:p>
    <w:p>
      <w:pPr>
        <w:spacing w:after="160"/>
        <w:ind w:firstLine="420"/>
      </w:pPr>
      <w:r>
        <w:rPr>
          <w:rFonts w:ascii="Times New Roman" w:hAnsi="Times New Roman" w:eastAsia="宋体"/>
          <w:b w:val="0"/>
          <w:i w:val="0"/>
          <w:sz w:val="24"/>
        </w:rPr>
        <w:t>主动学习与人机协同框架通常假设新增标注样本以与原有训练集相同的方式参与模型更新。本文的反馈闭环遵循这一思路完成分割头的增量重训练，但在图级判决阈值的更新上采取了不同的设计：第4.7节的实证表明，若反馈样本以相同方式参与阈值的统计估计，会在特定条件下引发对该样本本身而言不成比例的判决扰动。本文将阈值更新与分割头重训练解耦，前者采用确定性的方向性约束，后者沿用标准的增量监督训练。</w:t>
      </w:r>
    </w:p>
    <w:p>
      <w:pPr>
        <w:pStyle w:val="Heading2"/>
        <w:spacing w:before="280" w:after="160"/>
      </w:pPr>
      <w:r>
        <w:rPr>
          <w:rFonts w:ascii="Times New Roman" w:hAnsi="Times New Roman" w:eastAsia="黑体"/>
        </w:rPr>
        <w:t>2.4 与赛题指定文献AHL的关系</w:t>
      </w:r>
    </w:p>
    <w:p>
      <w:pPr>
        <w:spacing w:after="160"/>
        <w:ind w:firstLine="420"/>
      </w:pPr>
      <w:r>
        <w:rPr>
          <w:rFonts w:ascii="Times New Roman" w:hAnsi="Times New Roman" w:eastAsia="宋体"/>
          <w:b w:val="0"/>
          <w:i w:val="0"/>
          <w:sz w:val="24"/>
        </w:rPr>
        <w:t>赛题材料明确点名参考Anomaly Heterogeneity Learning（AHL）[9]，该文献面向开放集监督异常检测场景，其核心思路之一是对迁移阶段的正常样本做聚类，以应对“正常”本身存在多种异质模态的情形。本文完整实现了这一原语——用DINOv2的类别特征将迁移阶段的正常样本聚为若干模态，每个模态独立标定判决统计量，推理时先归类再判决——并在真实的多品类混合迁移数据上进行了验证（第4.4节）。实测表明该机制在本文当前的正常样本规模（100张、3个品类混合）下未能带来正向收益，图级判定准确率由0.946降至0.905，本文按第3.6节的验证方法论如实报告该负结果，而非将其作为方案卖点。这一处理体现了本文的方法论立场：文献建议的机制经过完整实现与真实数据验证仍可能不适用于特定的样本规模与场景，验证结果应当独立于文献权威性而被诚实报告。</w:t>
      </w:r>
    </w:p>
    <w:p>
      <w:r>
        <w:br w:type="page"/>
      </w:r>
    </w:p>
    <w:p>
      <w:pPr>
        <w:pStyle w:val="Heading1"/>
        <w:spacing w:before="280" w:after="160"/>
      </w:pPr>
      <w:r>
        <w:rPr>
          <w:rFonts w:ascii="Times New Roman" w:hAnsi="Times New Roman" w:eastAsia="黑体"/>
        </w:rPr>
        <w:t>3 方法</w:t>
      </w:r>
    </w:p>
    <w:p>
      <w:pPr>
        <w:pStyle w:val="Heading2"/>
        <w:spacing w:before="280" w:after="160"/>
      </w:pPr>
      <w:r>
        <w:rPr>
          <w:rFonts w:ascii="Times New Roman" w:hAnsi="Times New Roman" w:eastAsia="黑体"/>
        </w:rPr>
        <w:t>3.1 总体架构</w:t>
      </w:r>
    </w:p>
    <w:p>
      <w:pPr>
        <w:spacing w:after="160"/>
        <w:ind w:firstLine="420"/>
      </w:pPr>
      <w:r>
        <w:rPr>
          <w:rFonts w:ascii="Times New Roman" w:hAnsi="Times New Roman" w:eastAsia="宋体"/>
          <w:b w:val="0"/>
          <w:i w:val="0"/>
          <w:sz w:val="24"/>
        </w:rPr>
        <w:t>系统的核心处理函数对每张输入图像依次执行检测、定位、归因三层判断，并在检测层判定为“正常”时立即返回，不触发后续两层的计算。这一“早退”设计直接服务于第1.1节的硬延时约束：真实产线中正常样本占多数，让多数样本走最短路径是压缩平均延时的首要杠杆。反馈层独立于该推理主路径，仅在操作员提交反馈时触发增量重拟合。四层的职责划分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eastAsia="黑体"/>
                <w:b/>
                <w:sz w:val="21"/>
              </w:rPr>
              <w:t>层级</w:t>
            </w:r>
          </w:p>
        </w:tc>
        <w:tc>
          <w:tcPr>
            <w:tcW w:type="dxa" w:w="2880"/>
          </w:tcPr>
          <w:p>
            <w:pPr>
              <w:jc w:val="center"/>
            </w:pPr>
            <w:r/>
            <w:r>
              <w:rPr>
                <w:rFonts w:eastAsia="黑体"/>
                <w:b/>
                <w:sz w:val="21"/>
              </w:rPr>
              <w:t>输入 → 输出</w:t>
            </w:r>
          </w:p>
        </w:tc>
        <w:tc>
          <w:tcPr>
            <w:tcW w:type="dxa" w:w="2880"/>
          </w:tcPr>
          <w:p>
            <w:pPr>
              <w:jc w:val="center"/>
            </w:pPr>
            <w:r/>
            <w:r>
              <w:rPr>
                <w:rFonts w:eastAsia="黑体"/>
                <w:b/>
                <w:sz w:val="21"/>
              </w:rPr>
              <w:t>核心问题</w:t>
            </w:r>
          </w:p>
        </w:tc>
      </w:tr>
      <w:tr>
        <w:tc>
          <w:tcPr>
            <w:tcW w:type="dxa" w:w="2880"/>
          </w:tcPr>
          <w:p>
            <w:pPr>
              <w:jc w:val="center"/>
            </w:pPr>
            <w:r/>
            <w:r>
              <w:rPr>
                <w:rFonts w:eastAsia="宋体"/>
                <w:sz w:val="21"/>
              </w:rPr>
              <w:t>检测层</w:t>
            </w:r>
          </w:p>
        </w:tc>
        <w:tc>
          <w:tcPr>
            <w:tcW w:type="dxa" w:w="2880"/>
          </w:tcPr>
          <w:p>
            <w:pPr>
              <w:jc w:val="center"/>
            </w:pPr>
            <w:r/>
            <w:r>
              <w:rPr>
                <w:rFonts w:eastAsia="宋体"/>
                <w:sz w:val="21"/>
              </w:rPr>
              <w:t>整图 → 是否异常</w:t>
            </w:r>
          </w:p>
        </w:tc>
        <w:tc>
          <w:tcPr>
            <w:tcW w:type="dxa" w:w="2880"/>
          </w:tcPr>
          <w:p>
            <w:pPr>
              <w:jc w:val="center"/>
            </w:pPr>
            <w:r/>
            <w:r>
              <w:rPr>
                <w:rFonts w:eastAsia="宋体"/>
                <w:sz w:val="21"/>
              </w:rPr>
              <w:t>唯一决定“是不是缺陷”，决定后续两层是否执行</w:t>
            </w:r>
          </w:p>
        </w:tc>
      </w:tr>
      <w:tr>
        <w:tc>
          <w:tcPr>
            <w:tcW w:type="dxa" w:w="2880"/>
          </w:tcPr>
          <w:p>
            <w:pPr>
              <w:jc w:val="center"/>
            </w:pPr>
            <w:r/>
            <w:r>
              <w:rPr>
                <w:rFonts w:eastAsia="宋体"/>
                <w:sz w:val="21"/>
              </w:rPr>
              <w:t>定位层</w:t>
            </w:r>
          </w:p>
        </w:tc>
        <w:tc>
          <w:tcPr>
            <w:tcW w:type="dxa" w:w="2880"/>
          </w:tcPr>
          <w:p>
            <w:pPr>
              <w:jc w:val="center"/>
            </w:pPr>
            <w:r/>
            <w:r>
              <w:rPr>
                <w:rFonts w:eastAsia="宋体"/>
                <w:sz w:val="21"/>
              </w:rPr>
              <w:t>判为异常的图 → 缺陷掩膜与外接框</w:t>
            </w:r>
          </w:p>
        </w:tc>
        <w:tc>
          <w:tcPr>
            <w:tcW w:type="dxa" w:w="2880"/>
          </w:tcPr>
          <w:p>
            <w:pPr>
              <w:jc w:val="center"/>
            </w:pPr>
            <w:r/>
            <w:r>
              <w:rPr>
                <w:rFonts w:eastAsia="宋体"/>
                <w:sz w:val="21"/>
              </w:rPr>
              <w:t>在何处、多大范围</w:t>
            </w:r>
          </w:p>
        </w:tc>
      </w:tr>
      <w:tr>
        <w:tc>
          <w:tcPr>
            <w:tcW w:type="dxa" w:w="2880"/>
          </w:tcPr>
          <w:p>
            <w:pPr>
              <w:jc w:val="center"/>
            </w:pPr>
            <w:r/>
            <w:r>
              <w:rPr>
                <w:rFonts w:eastAsia="宋体"/>
                <w:sz w:val="21"/>
              </w:rPr>
              <w:t>归因层</w:t>
            </w:r>
          </w:p>
        </w:tc>
        <w:tc>
          <w:tcPr>
            <w:tcW w:type="dxa" w:w="2880"/>
          </w:tcPr>
          <w:p>
            <w:pPr>
              <w:jc w:val="center"/>
            </w:pPr>
            <w:r/>
            <w:r>
              <w:rPr>
                <w:rFonts w:eastAsia="宋体"/>
                <w:sz w:val="21"/>
              </w:rPr>
              <w:t>掩膜产出后 → 缺陷类型</w:t>
            </w:r>
          </w:p>
        </w:tc>
        <w:tc>
          <w:tcPr>
            <w:tcW w:type="dxa" w:w="2880"/>
          </w:tcPr>
          <w:p>
            <w:pPr>
              <w:jc w:val="center"/>
            </w:pPr>
            <w:r/>
            <w:r>
              <w:rPr>
                <w:rFonts w:eastAsia="宋体"/>
                <w:sz w:val="21"/>
              </w:rPr>
              <w:t>属于赛题5类中的哪一类</w:t>
            </w:r>
          </w:p>
        </w:tc>
      </w:tr>
      <w:tr>
        <w:tc>
          <w:tcPr>
            <w:tcW w:type="dxa" w:w="2880"/>
          </w:tcPr>
          <w:p>
            <w:pPr>
              <w:jc w:val="center"/>
            </w:pPr>
            <w:r/>
            <w:r>
              <w:rPr>
                <w:rFonts w:eastAsia="宋体"/>
                <w:sz w:val="21"/>
              </w:rPr>
              <w:t>反馈层</w:t>
            </w:r>
          </w:p>
        </w:tc>
        <w:tc>
          <w:tcPr>
            <w:tcW w:type="dxa" w:w="2880"/>
          </w:tcPr>
          <w:p>
            <w:pPr>
              <w:jc w:val="center"/>
            </w:pPr>
            <w:r/>
            <w:r>
              <w:rPr>
                <w:rFonts w:eastAsia="宋体"/>
                <w:sz w:val="21"/>
              </w:rPr>
              <w:t>操作员标注 → 更新后的模型参数</w:t>
            </w:r>
          </w:p>
        </w:tc>
        <w:tc>
          <w:tcPr>
            <w:tcW w:type="dxa" w:w="2880"/>
          </w:tcPr>
          <w:p>
            <w:pPr>
              <w:jc w:val="center"/>
            </w:pPr>
            <w:r/>
            <w:r>
              <w:rPr>
                <w:rFonts w:eastAsia="宋体"/>
                <w:sz w:val="21"/>
              </w:rPr>
              <w:t>如何吸收现场纠错而不引入新风险</w:t>
            </w:r>
          </w:p>
        </w:tc>
      </w:tr>
    </w:tbl>
    <w:p>
      <w:pPr>
        <w:spacing w:after="40"/>
      </w:pPr>
    </w:p>
    <w:p>
      <w:pPr>
        <w:spacing w:after="200"/>
      </w:pPr>
      <w:r>
        <w:rPr>
          <w:rFonts w:ascii="Times New Roman" w:hAnsi="Times New Roman" w:eastAsia="宋体"/>
          <w:b w:val="0"/>
          <w:i/>
          <w:sz w:val="19"/>
        </w:rPr>
        <w:t>表1 系统四层架构的职责划分。</w:t>
      </w:r>
    </w:p>
    <w:p>
      <w:pPr>
        <w:pStyle w:val="Heading2"/>
        <w:spacing w:before="280" w:after="160"/>
      </w:pPr>
      <w:r>
        <w:rPr>
          <w:rFonts w:ascii="Times New Roman" w:hAnsi="Times New Roman" w:eastAsia="黑体"/>
        </w:rPr>
        <w:t>3.2 检测层：受控平等融合的双判据检测</w:t>
      </w:r>
    </w:p>
    <w:p>
      <w:pPr>
        <w:spacing w:after="160"/>
        <w:ind w:firstLine="420"/>
      </w:pPr>
      <w:r>
        <w:rPr>
          <w:rFonts w:ascii="Times New Roman" w:hAnsi="Times New Roman" w:eastAsia="宋体"/>
          <w:b w:val="0"/>
          <w:i w:val="0"/>
          <w:sz w:val="24"/>
        </w:rPr>
        <w:t>检测层由两条误差互不相关的判据构成。第一条判据是EfficientAD [2]的师生—教师蒸馏网络：教师网络在大规模自然图像上预训练并冻结，学生网络仅在迁移阶段的正常样本上训练，学习模仿教师在正常区域的特征输出；由于学生从未见过异常样本，其与教师输出的差异在异常区域会显著增大，构成检测信号。本文进一步引入两个不同随机种子的学生网络构成集成，教师网络在两个学生之间共享，不产生额外的教师前向开销。第二条判据是DINOv2 [3]自监督视觉特征构成的图级协同检测器：对迁移阶段的正常样本与缺陷样本分别提取特征并做同样的分数标准化，与EfficientAD分支的标准化分数取逐图最大值作为最终判据（即两条判据平等竞争，只要任意一条判定为异常即采信）。</w:t>
      </w:r>
    </w:p>
    <w:p>
      <w:pPr>
        <w:spacing w:after="160"/>
        <w:ind w:firstLine="420"/>
      </w:pPr>
      <w:r>
        <w:rPr>
          <w:rFonts w:ascii="Times New Roman" w:hAnsi="Times New Roman" w:eastAsia="宋体"/>
          <w:b w:val="0"/>
          <w:i w:val="0"/>
          <w:sz w:val="24"/>
        </w:rPr>
        <w:t>该设计的动机来自一个明确的失效现象：EfficientAD单独判定图级异常时，在特定品类上会出现系统性漏判——不是随机误差，而是该品类的异常特征分布与正常特征分布在教师—学生残差空间中重叠，导致几乎全部异常样本的分数落入正常区间。由于两条判据基于完全不同的特征空间（卷积残差 vs. 自监督语义特征），二者出现同向系统性偏差的概率较低。实测中，若因延时预算限制而临时移除DINO协同判据，该品类的图级判定准确率由0.811骤降至0.171，证实这是一处不可裁剪的组件（第4.5节的延时自适应策略据此将其排除在可裁剪清单之外）。</w:t>
      </w:r>
    </w:p>
    <w:p>
      <w:pPr>
        <w:spacing w:after="160"/>
        <w:ind w:firstLine="420"/>
      </w:pPr>
      <w:r>
        <w:rPr>
          <w:rFonts w:ascii="Times New Roman" w:hAnsi="Times New Roman" w:eastAsia="宋体"/>
          <w:b w:val="0"/>
          <w:i w:val="0"/>
          <w:sz w:val="24"/>
        </w:rPr>
        <w:t>在检测层判定“正常”但分数处于自适应灰区（超过阈值的固定比例但未达阈值）且定位层信号超过独立标定的门限时，系统提供一次受控的“翻正”补检：该门限与灰区比例均在迁移阶段的内部数据上按“零误翻”条件标定——即该补检机制在标定数据上不产生任何新增误报，标定失败则整体禁用。此设计只增加召回、不改变原有判定边界，因此不改变检测层其余部分已验证的行为。</w:t>
      </w:r>
    </w:p>
    <w:p>
      <w:pPr>
        <w:pStyle w:val="Heading2"/>
        <w:spacing w:before="280" w:after="160"/>
      </w:pPr>
      <w:r>
        <w:rPr>
          <w:rFonts w:ascii="Times New Roman" w:hAnsi="Times New Roman" w:eastAsia="黑体"/>
        </w:rPr>
        <w:t>3.3 定位层：浅层特征与双头联合监督训练</w:t>
      </w:r>
    </w:p>
    <w:p>
      <w:pPr>
        <w:spacing w:after="160"/>
        <w:ind w:firstLine="420"/>
      </w:pPr>
      <w:r>
        <w:rPr>
          <w:rFonts w:ascii="Times New Roman" w:hAnsi="Times New Roman" w:eastAsia="宋体"/>
          <w:b w:val="0"/>
          <w:i w:val="0"/>
          <w:sz w:val="24"/>
        </w:rPr>
        <w:t>定位层的骨干特征提取器采用ImageNet预训练的WideResNet-50，但仅取其浅层（第1、2残差阶段）特征而非通常更受青睐的深层语义特征。这一选择并非默认设定，而是对骨干各层特征做逐层横向扫描后的结果：使用浅层特征时，含漏检IoU均值由0.305提升至0.449（相对提升47%），其中两个电子元件类目分别提升53%与74%，同时浅层特征的前向耗时仅为深层的约1/4（8毫秒 vs. 36毫秒）——精度与延时在这一处选择上方向一致。对该骨干额外拼接更深层语义特征的尝试已验证为负（精度未达准入门槛，且延时增加约70毫秒），已封存不再使用。</w:t>
      </w:r>
    </w:p>
    <w:p>
      <w:pPr>
        <w:spacing w:after="160"/>
        <w:ind w:firstLine="420"/>
      </w:pPr>
      <w:r>
        <w:rPr>
          <w:rFonts w:ascii="Times New Roman" w:hAnsi="Times New Roman" w:eastAsia="宋体"/>
          <w:b w:val="0"/>
          <w:i w:val="0"/>
          <w:sz w:val="24"/>
        </w:rPr>
        <w:t>浅层特征之上是一个双头集成的监督分割网络：一个线性探测头与一个轻量卷积头并联，二者的输出取平均作为最终异常图。本文验证的十余项候选改动中，唯一通过第3.6节验收判据的一项，是将两个头从“各自独立训练300步”改为“作为一个整体联合训练300步”——梯度同时流经两个头，使二者在训练中协同分工，而非各自独立收敛到相近的解。该改动不改变推理结构、不增加任何延时，在完整生产成绩单上取得图级判定准确率+0.010、含漏检IoU+0.005、框命中率+0.028的一致提升（第4.4节表7）。</w:t>
      </w:r>
    </w:p>
    <w:p>
      <w:pPr>
        <w:spacing w:after="160"/>
        <w:ind w:firstLine="420"/>
      </w:pPr>
      <w:r>
        <w:rPr>
          <w:rFonts w:ascii="Times New Roman" w:hAnsi="Times New Roman" w:eastAsia="宋体"/>
          <w:b w:val="0"/>
          <w:i w:val="0"/>
          <w:sz w:val="24"/>
        </w:rPr>
        <w:t>分割网络输出的异常概率图经阈值化与连通域分析得到候选区域后，交由MobileSAM [5]做受控边界精化：该模块在迁移阶段对每个候选区域独立做留出验证，只有在验证集上确认能改善边界质量的区域才启用精化，其余区域保留分割网络的原始输出。在本文测试的全部数据域上，该门控均判定为不启用（即全部候选区域的验证结果都未达到启用门限），因此实际生产配置中该模块对最终精度无实测贡献，但其零延时代价的短路机制（判定不启用时直接跳过，不产生SAM前向开销）保留了在未来数据分布下重新生效的可能性，本文如实报告这一“存在但未生效”的现状。</w:t>
      </w:r>
    </w:p>
    <w:p>
      <w:pPr>
        <w:pStyle w:val="Heading2"/>
        <w:spacing w:before="280" w:after="160"/>
      </w:pPr>
      <w:r>
        <w:rPr>
          <w:rFonts w:ascii="Times New Roman" w:hAnsi="Times New Roman" w:eastAsia="黑体"/>
        </w:rPr>
        <w:t>3.4 归因层：双图对比范式的缺陷类型归属</w:t>
      </w:r>
    </w:p>
    <w:p>
      <w:pPr>
        <w:spacing w:after="160"/>
        <w:ind w:firstLine="420"/>
      </w:pPr>
      <w:r>
        <w:rPr>
          <w:rFonts w:ascii="Times New Roman" w:hAnsi="Times New Roman" w:eastAsia="宋体"/>
          <w:b w:val="0"/>
          <w:i w:val="0"/>
          <w:sz w:val="24"/>
        </w:rPr>
        <w:t>归因层的设计动机来自第1.2节指出的结构性问题：赛题5类缺陷中“缺件少件”“尺寸偏差”“逻辑错误”本质上是比较性判断，脱离参照物的单图方法无法确认“正常情况下这里应该是什么样”。本文的解决方式是在向视觉语言模型提问时，同时提供两张图像：待判缺陷图，以及从同一空间坐标裁剪出的正常参考图（参考图取自迁移阶段的正常样本，裁剪坐标与定位层输出的候选框坐标一致）。模型被要求先描述两图之间的具体差异，再从赛题划定的5类中选择归属。</w:t>
      </w:r>
    </w:p>
    <w:p>
      <w:pPr>
        <w:spacing w:after="160"/>
        <w:ind w:firstLine="420"/>
      </w:pPr>
      <w:r>
        <w:rPr>
          <w:rFonts w:ascii="Times New Roman" w:hAnsi="Times New Roman" w:eastAsia="宋体"/>
          <w:b w:val="0"/>
          <w:i w:val="0"/>
          <w:sz w:val="24"/>
        </w:rPr>
        <w:t>该设计在fit期（不计时）对30张缺陷标注图各调用一次视觉语言模型，得到30个（图像特征、类型标签）样本对；随后将这些样本对蒸馏为一个基于位置匹配特征的最近质心分类器——即计算每种类型标签对应样本的特征质心，推理阶段只需计算待判图与各质心的距离并取最近者，不再产生任何外部API调用。该蒸馏步骤使归因层在推理阶段满足赛题的实时性与断网部署要求，代价是推理阶段的计算量随候选区域掩膜面积增长（因为质心距离基于掩膜位置上池化的深层特征计算）；本文对掩膜面积设置了采样上限以控制该开销，具体延时实测见第4.5节。</w:t>
      </w:r>
    </w:p>
    <w:p>
      <w:pPr>
        <w:pStyle w:val="Heading2"/>
        <w:spacing w:before="280" w:after="160"/>
      </w:pPr>
      <w:r>
        <w:rPr>
          <w:rFonts w:ascii="Times New Roman" w:hAnsi="Times New Roman" w:eastAsia="黑体"/>
        </w:rPr>
        <w:t>3.5 反馈层：从统计投票到确定性约束</w:t>
      </w:r>
    </w:p>
    <w:p>
      <w:pPr>
        <w:spacing w:after="160"/>
        <w:ind w:firstLine="420"/>
      </w:pPr>
      <w:r>
        <w:rPr>
          <w:rFonts w:ascii="Times New Roman" w:hAnsi="Times New Roman" w:eastAsia="宋体"/>
          <w:b w:val="0"/>
          <w:i w:val="0"/>
          <w:sz w:val="24"/>
        </w:rPr>
        <w:t>反馈层响应操作员对漏检或误检样本的实时标注。两类反馈都采用增量式重拟合，且都跳过检测层EfficientAD学生网络的重新训练：该网络仅在正常样本上训练，缺陷样本只参与阈值标定，因此漏检反馈（新增缺陷样本）重训学生网络没有收益。对误检反馈（新增正常样本），直觉上应当让学生网络重新学习这一新样本，但实测该直觉不成立——将安全边际（判决阈值与该样本融合分数之差，越大越不易被误判）作为连续量度量，跳过重训练的快速路径反而取得更大的边际改善（+0.326 vs. 完整路径的+0.269）。机制上的解释是：误检的修复主要依赖阈值本身的重新标定，而重新训练学生网络会让该样本被网络学得更“正常”，其原始异常分数因此下降，在阈值标定时不再是拉高阈值的极端样本，阈值反而少上移一些。两条反馈路径因此都采用跳过学生网络重训练的快速路径，单轮反馈耗时由完整重拟合的1193秒降至251秒，这是“实时反馈”在本系统上能够成立的前提。</w:t>
      </w:r>
    </w:p>
    <w:p>
      <w:pPr>
        <w:spacing w:after="160"/>
        <w:ind w:firstLine="420"/>
      </w:pPr>
      <w:r>
        <w:rPr>
          <w:rFonts w:ascii="Times New Roman" w:hAnsi="Times New Roman" w:eastAsia="宋体"/>
          <w:b w:val="0"/>
          <w:i w:val="0"/>
          <w:sz w:val="24"/>
        </w:rPr>
        <w:t>分割网络的增量重训练之外，反馈层对图级判决阈值的更新采用了区别于常规标定流程的确定性约束机制，而非将反馈样本并入原有的100+30张样本重新做统计估计。设计这一约束经历了三轮被真实数据否决的直觉方案，完整的失效分析见第4.7节；最终形态是：漏检反馈要求阈值下调至捕获该样本，误检反馈要求阈值上调至排除该样本，二者均以迁移阶段正常样本的误报率不超过10%为硬性上限——超出上限时阈值维持不变，系统向操作员明确报告“该样本在当前特征下与正常样本不可分”，而非以牺牲整体误报率为代价强行满足单次反馈。阈值更新与分割网络重训练在反馈期被严格分离为仅有的两类允许变化，此外的一切标定（包括阈值的常规重投票、延时自适应裁剪的重新决策）在反馈期被冻结。</w:t>
      </w:r>
    </w:p>
    <w:p>
      <w:pPr>
        <w:pStyle w:val="Heading2"/>
        <w:spacing w:before="280" w:after="160"/>
      </w:pPr>
      <w:r>
        <w:rPr>
          <w:rFonts w:ascii="Times New Roman" w:hAnsi="Times New Roman" w:eastAsia="黑体"/>
        </w:rPr>
        <w:t>3.6 零回退验证方法论</w:t>
      </w:r>
    </w:p>
    <w:p>
      <w:pPr>
        <w:spacing w:after="160"/>
        <w:ind w:firstLine="420"/>
      </w:pPr>
      <w:r>
        <w:rPr>
          <w:rFonts w:ascii="Times New Roman" w:hAnsi="Times New Roman" w:eastAsia="宋体"/>
          <w:b w:val="0"/>
          <w:i w:val="0"/>
          <w:sz w:val="24"/>
        </w:rPr>
        <w:t>本文的方法论贡献之一，是为全部候选改动设定统一的、基于真实数据的准入判据，而非依赖单次实验或直觉判断。具体判据为：在真实留出数据或交叉验证数据上，多个测试品类间性能变化量的中位数不低于0.005，均值为正，过半数品类为正，且表现最差的品类跌幅不超过0.01——四个条件同时满足方可将候选改动并入生产配置；验证结果为负的候选立即回退，并将失败原因记录存档。该判据的四个条件分别防范不同的误判风险：中位数条件防范“平均收益被个别品类的极端正值拉高”；均值条件与过半为正条件共同防范“收益集中在少数品类、多数品类实为负收益”；最差品类条件直接防范“净收益为正但存在灾难性个例”，这在部署到未知产品的场景下尤为重要——赛题的隐藏测试域对参赛队伍完全未知，无法预先判断某个候选改动是否恰好命中其中的薄弱品类。</w:t>
      </w:r>
    </w:p>
    <w:p>
      <w:pPr>
        <w:spacing w:after="160"/>
        <w:ind w:firstLine="420"/>
      </w:pPr>
      <w:r>
        <w:rPr>
          <w:rFonts w:ascii="Times New Roman" w:hAnsi="Times New Roman" w:eastAsia="宋体"/>
          <w:b w:val="0"/>
          <w:i w:val="0"/>
          <w:sz w:val="24"/>
        </w:rPr>
        <w:t>该方法论在本文的开发过程中发挥了实质性的纠错作用，而非仅作为形式化流程：第4.4节报告的十余项候选改动中，多数在仅测试缺陷样本上的召回率提升时表现正向，但在补充测试正常样本上的误报率后被判定为负——这一“必须同时测正常样本”的规则本身，是在一次改动被误接入生产、导致图级判定准确率从0.902骤降至0.703后才被明确写入本文的开发规约（第4.4节将完整报告这一失误）。</w:t>
      </w:r>
    </w:p>
    <w:p>
      <w:r>
        <w:br w:type="page"/>
      </w:r>
    </w:p>
    <w:p>
      <w:pPr>
        <w:pStyle w:val="Heading1"/>
        <w:spacing w:before="280" w:after="160"/>
      </w:pPr>
      <w:r>
        <w:rPr>
          <w:rFonts w:ascii="Times New Roman" w:hAnsi="Times New Roman" w:eastAsia="黑体"/>
        </w:rPr>
        <w:t>4 实验</w:t>
      </w:r>
    </w:p>
    <w:p>
      <w:pPr>
        <w:pStyle w:val="Heading2"/>
        <w:spacing w:before="280" w:after="160"/>
      </w:pPr>
      <w:r>
        <w:rPr>
          <w:rFonts w:ascii="Times New Roman" w:hAnsi="Times New Roman" w:eastAsia="黑体"/>
        </w:rPr>
        <w:t>4.1 实验设置</w:t>
      </w:r>
    </w:p>
    <w:p>
      <w:pPr>
        <w:spacing w:after="160"/>
        <w:ind w:firstLine="420"/>
      </w:pPr>
      <w:r>
        <w:rPr>
          <w:rFonts w:ascii="Times New Roman" w:hAnsi="Times New Roman" w:eastAsia="宋体"/>
          <w:b w:val="0"/>
          <w:i w:val="0"/>
          <w:sz w:val="24"/>
        </w:rPr>
        <w:t>评价指标严格采用赛题评分口径：图级判定准确率（是否正确判断整图是否含缺陷）、含漏检IoU（对被判定为正常的缺陷图记0分，而非从定位统计中剔除——剔除会因“漏得越多、剩下的越简单”而系统性虚高定位指标）、框命中率（预测框与真值框IoU≥0.5视为命中）、以及单图推理时延。本文全文不使用AUROC等阈值无关指标：该类指标会掩盖阈值本身选取质量带来的真实误报代价，本项目早期曾用AUROC自评得到明显偏高的估计，改用上述真实评分口径复测后数值显著下降，因此弃用。</w:t>
      </w:r>
    </w:p>
    <w:p>
      <w:pPr>
        <w:spacing w:after="160"/>
        <w:ind w:firstLine="420"/>
      </w:pPr>
      <w:r>
        <w:rPr>
          <w:rFonts w:ascii="Times New Roman" w:hAnsi="Times New Roman" w:eastAsia="宋体"/>
          <w:b w:val="0"/>
          <w:i w:val="0"/>
          <w:sz w:val="24"/>
        </w:rPr>
        <w:t>数据来源包括：MVTec AD [4]（hazelnut、cable、pill、carpet、metal_nut等品类，覆盖常见外观缺陷、缺件少件、色彩变化三类赛题定义）、MVTec LOCO AD [6]（覆盖逻辑约束违反类异常）、Real-IAD [7]（12个电子/精密制造品类，覆盖手机电池、SIM卡座、印刷电路板等与赛题隐藏域接近的真实产线缺陷，且提供像素级标注而非仅边界框）、以及一份基于公开手机屏幕缺陷图像整理的真实数据（覆盖油污、划痕、污渍三类表面缺陷），用于评估系统在与赛题隐藏测试域最接近的真实场景下的表现。硬件环境为RTX 4060 Laptop（主要验证平台）与RTX 2070 SUPER（交叉验证平台，第4.5节）。</w:t>
      </w:r>
    </w:p>
    <w:p>
      <w:pPr>
        <w:pStyle w:val="Heading2"/>
        <w:spacing w:before="280" w:after="160"/>
      </w:pPr>
      <w:r>
        <w:rPr>
          <w:rFonts w:ascii="Times New Roman" w:hAnsi="Times New Roman" w:eastAsia="黑体"/>
        </w:rPr>
        <w:t>4.2 主结果</w:t>
      </w:r>
    </w:p>
    <w:p>
      <w:pPr>
        <w:spacing w:after="160"/>
        <w:ind w:firstLine="420"/>
      </w:pPr>
      <w:r>
        <w:rPr>
          <w:rFonts w:ascii="Times New Roman" w:hAnsi="Times New Roman" w:eastAsia="宋体"/>
          <w:b w:val="0"/>
          <w:i w:val="0"/>
          <w:sz w:val="24"/>
        </w:rPr>
        <w:t>赛题的真实评测协议是单次迁移、混合测试流：给定100张正常图与30张缺陷图完成一次迁移后，对1000余张混合测试图逐图判定，而非逐品类分别迁移分别测试。表2报告在该协议下、5个品类混合迁移（hazelnut/cable/carpet/pill/metal_nut）、三次独立随机种子（种子仅改变“哪30张缺陷图进入迁移集”，这正是赛场上无法控制的变量）重复实验的结果。</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eastAsia="黑体"/>
                <w:b/>
                <w:sz w:val="21"/>
              </w:rPr>
              <w:t>指标</w:t>
            </w:r>
          </w:p>
        </w:tc>
        <w:tc>
          <w:tcPr>
            <w:tcW w:type="dxa" w:w="4320"/>
          </w:tcPr>
          <w:p>
            <w:pPr>
              <w:jc w:val="center"/>
            </w:pPr>
            <w:r/>
            <w:r>
              <w:rPr>
                <w:rFonts w:eastAsia="黑体"/>
                <w:b/>
                <w:sz w:val="21"/>
              </w:rPr>
              <w:t>三次独立重复的均值 ± 标准差</w:t>
            </w:r>
          </w:p>
        </w:tc>
      </w:tr>
      <w:tr>
        <w:tc>
          <w:tcPr>
            <w:tcW w:type="dxa" w:w="4320"/>
          </w:tcPr>
          <w:p>
            <w:pPr>
              <w:jc w:val="center"/>
            </w:pPr>
            <w:r/>
            <w:r>
              <w:rPr>
                <w:rFonts w:eastAsia="宋体"/>
                <w:sz w:val="21"/>
              </w:rPr>
              <w:t>图级判定准确率</w:t>
            </w:r>
          </w:p>
        </w:tc>
        <w:tc>
          <w:tcPr>
            <w:tcW w:type="dxa" w:w="4320"/>
          </w:tcPr>
          <w:p>
            <w:pPr>
              <w:jc w:val="center"/>
            </w:pPr>
            <w:r/>
            <w:r>
              <w:rPr>
                <w:rFonts w:eastAsia="宋体"/>
                <w:sz w:val="21"/>
              </w:rPr>
              <w:t>0.887 ± 0.023</w:t>
            </w:r>
          </w:p>
        </w:tc>
      </w:tr>
      <w:tr>
        <w:tc>
          <w:tcPr>
            <w:tcW w:type="dxa" w:w="4320"/>
          </w:tcPr>
          <w:p>
            <w:pPr>
              <w:jc w:val="center"/>
            </w:pPr>
            <w:r/>
            <w:r>
              <w:rPr>
                <w:rFonts w:eastAsia="宋体"/>
                <w:sz w:val="21"/>
              </w:rPr>
              <w:t>召回率</w:t>
            </w:r>
          </w:p>
        </w:tc>
        <w:tc>
          <w:tcPr>
            <w:tcW w:type="dxa" w:w="4320"/>
          </w:tcPr>
          <w:p>
            <w:pPr>
              <w:jc w:val="center"/>
            </w:pPr>
            <w:r/>
            <w:r>
              <w:rPr>
                <w:rFonts w:eastAsia="宋体"/>
                <w:sz w:val="21"/>
              </w:rPr>
              <w:t>90.7% ± 3.7%</w:t>
            </w:r>
          </w:p>
        </w:tc>
      </w:tr>
      <w:tr>
        <w:tc>
          <w:tcPr>
            <w:tcW w:type="dxa" w:w="4320"/>
          </w:tcPr>
          <w:p>
            <w:pPr>
              <w:jc w:val="center"/>
            </w:pPr>
            <w:r/>
            <w:r>
              <w:rPr>
                <w:rFonts w:eastAsia="宋体"/>
                <w:sz w:val="21"/>
              </w:rPr>
              <w:t>误报率</w:t>
            </w:r>
          </w:p>
        </w:tc>
        <w:tc>
          <w:tcPr>
            <w:tcW w:type="dxa" w:w="4320"/>
          </w:tcPr>
          <w:p>
            <w:pPr>
              <w:jc w:val="center"/>
            </w:pPr>
            <w:r/>
            <w:r>
              <w:rPr>
                <w:rFonts w:eastAsia="宋体"/>
                <w:sz w:val="21"/>
              </w:rPr>
              <w:t>12.2%（三次分别为8.5% / 8.9% / 19.1%）</w:t>
            </w:r>
          </w:p>
        </w:tc>
      </w:tr>
      <w:tr>
        <w:tc>
          <w:tcPr>
            <w:tcW w:type="dxa" w:w="4320"/>
          </w:tcPr>
          <w:p>
            <w:pPr>
              <w:jc w:val="center"/>
            </w:pPr>
            <w:r/>
            <w:r>
              <w:rPr>
                <w:rFonts w:eastAsia="宋体"/>
                <w:sz w:val="21"/>
              </w:rPr>
              <w:t>框命中率（IoU≥0.5）</w:t>
            </w:r>
          </w:p>
        </w:tc>
        <w:tc>
          <w:tcPr>
            <w:tcW w:type="dxa" w:w="4320"/>
          </w:tcPr>
          <w:p>
            <w:pPr>
              <w:jc w:val="center"/>
            </w:pPr>
            <w:r/>
            <w:r>
              <w:rPr>
                <w:rFonts w:eastAsia="宋体"/>
                <w:sz w:val="21"/>
              </w:rPr>
              <w:t>0.373 ± 0.020</w:t>
            </w:r>
          </w:p>
        </w:tc>
      </w:tr>
      <w:tr>
        <w:tc>
          <w:tcPr>
            <w:tcW w:type="dxa" w:w="4320"/>
          </w:tcPr>
          <w:p>
            <w:pPr>
              <w:jc w:val="center"/>
            </w:pPr>
            <w:r/>
            <w:r>
              <w:rPr>
                <w:rFonts w:eastAsia="宋体"/>
                <w:sz w:val="21"/>
              </w:rPr>
              <w:t>含漏检IoU</w:t>
            </w:r>
          </w:p>
        </w:tc>
        <w:tc>
          <w:tcPr>
            <w:tcW w:type="dxa" w:w="4320"/>
          </w:tcPr>
          <w:p>
            <w:pPr>
              <w:jc w:val="center"/>
            </w:pPr>
            <w:r/>
            <w:r>
              <w:rPr>
                <w:rFonts w:eastAsia="宋体"/>
                <w:sz w:val="21"/>
              </w:rPr>
              <w:t>0.357 ± 0.016</w:t>
            </w:r>
          </w:p>
        </w:tc>
      </w:tr>
      <w:tr>
        <w:tc>
          <w:tcPr>
            <w:tcW w:type="dxa" w:w="4320"/>
          </w:tcPr>
          <w:p>
            <w:pPr>
              <w:jc w:val="center"/>
            </w:pPr>
            <w:r/>
            <w:r>
              <w:rPr>
                <w:rFonts w:eastAsia="宋体"/>
                <w:sz w:val="21"/>
              </w:rPr>
              <w:t>单图检测时延（中位数）</w:t>
            </w:r>
          </w:p>
        </w:tc>
        <w:tc>
          <w:tcPr>
            <w:tcW w:type="dxa" w:w="4320"/>
          </w:tcPr>
          <w:p>
            <w:pPr>
              <w:jc w:val="center"/>
            </w:pPr>
            <w:r/>
            <w:r>
              <w:rPr>
                <w:rFonts w:eastAsia="宋体"/>
                <w:sz w:val="21"/>
              </w:rPr>
              <w:t>80毫秒</w:t>
            </w:r>
          </w:p>
        </w:tc>
      </w:tr>
    </w:tbl>
    <w:p>
      <w:pPr>
        <w:spacing w:after="40"/>
      </w:pPr>
    </w:p>
    <w:p>
      <w:pPr>
        <w:spacing w:after="200"/>
      </w:pPr>
      <w:r>
        <w:rPr>
          <w:rFonts w:ascii="Times New Roman" w:hAnsi="Times New Roman" w:eastAsia="宋体"/>
          <w:b w:val="0"/>
          <w:i/>
          <w:sz w:val="19"/>
        </w:rPr>
        <w:t>表2 5品类混合、一次迁移、三种子重复的主结果（`scripts/run_exam2500.py`，种子固定可复现）。</w:t>
      </w:r>
    </w:p>
    <w:p>
      <w:pPr>
        <w:spacing w:after="160"/>
        <w:ind w:firstLine="420"/>
      </w:pPr>
      <w:r>
        <w:rPr>
          <w:rFonts w:ascii="Times New Roman" w:hAnsi="Times New Roman" w:eastAsia="宋体"/>
          <w:b w:val="0"/>
          <w:i w:val="0"/>
          <w:sz w:val="24"/>
        </w:rPr>
        <w:t>该结果背后存在一处需要说明的方法论修复：初次实验的三次重复标准差高达±0.112（准确率在0.669～0.913间大幅摆动），根因追溯为延时自适应裁剪模块——该模块用“假设每张图都是缺陷、走满全部计算”的最坏情形探针与200毫秒预算比较，单次噪声测量若恰好偏高，就会裁剪掉包括第3.2节所述DINO协同检测门在内的关键组件，而真实测试流中约七成为正常图会提前返回、探针高估了真实平均延时。修复方式为：探针改为三次测量取中位数而非单次测量，且DINO协同检测门与MobileSAM精化模块被移出可裁剪候选清单（二者的裁剪代价—收益比经逐段计时实测均不划算，具体数据见第4.5节）。修复后标准差由±0.112收窄至±0.023。这一修复过程本身印证了第3.6节的方法论立场：任何不可逆的结构性决策都不应建立在单次噪声测量之上。</w:t>
      </w:r>
    </w:p>
    <w:p>
      <w:pPr>
        <w:spacing w:after="160"/>
        <w:ind w:firstLine="420"/>
      </w:pPr>
      <w:r>
        <w:rPr>
          <w:rFonts w:ascii="Times New Roman" w:hAnsi="Times New Roman" w:eastAsia="宋体"/>
          <w:b w:val="0"/>
          <w:i w:val="0"/>
          <w:sz w:val="24"/>
        </w:rPr>
        <w:t>在反馈闭环相关的全部改动（第3.5、4.7节）并入生产配置后，本文按同一协议独立复跑三次种子重复实验作为回归确认：图级判定准确率0.912±0.019、召回率86.5%、误报率6.8%、框命中率0.368、含漏检IoU0.351，与表2的引用数一致（差异处于种子间波动量级内），确认反馈相关的全部改动未对常规检测路径引入性能回归。</w:t>
      </w:r>
    </w:p>
    <w:p>
      <w:pPr>
        <w:pStyle w:val="Heading2"/>
        <w:spacing w:before="280" w:after="160"/>
      </w:pPr>
      <w:r>
        <w:rPr>
          <w:rFonts w:ascii="Times New Roman" w:hAnsi="Times New Roman" w:eastAsia="黑体"/>
        </w:rPr>
        <w:t>4.3 隐藏域泛化：真实手机屏幕数据</w:t>
      </w:r>
    </w:p>
    <w:p>
      <w:pPr>
        <w:spacing w:after="160"/>
        <w:ind w:firstLine="420"/>
      </w:pPr>
      <w:r>
        <w:rPr>
          <w:rFonts w:ascii="Times New Roman" w:hAnsi="Times New Roman" w:eastAsia="宋体"/>
          <w:b w:val="0"/>
          <w:i w:val="0"/>
          <w:sz w:val="24"/>
        </w:rPr>
        <w:t>赛题的隐藏测试域为手机部件。本节直接在真实手机屏幕缺陷数据（覆盖油污、划痕、污渍三类表面缺陷）上实测，是本文全部实验中与赛场目标域最接近的一组证据。协议为15张正常图与30张缺陷图完成迁移，随后对1000张迁移阶段未见过的缺陷图逐图检测，同样重复三次独立随机种子。</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eastAsia="黑体"/>
                <w:b/>
                <w:sz w:val="21"/>
              </w:rPr>
              <w:t>指标</w:t>
            </w:r>
          </w:p>
        </w:tc>
        <w:tc>
          <w:tcPr>
            <w:tcW w:type="dxa" w:w="4320"/>
          </w:tcPr>
          <w:p>
            <w:pPr>
              <w:jc w:val="center"/>
            </w:pPr>
            <w:r/>
            <w:r>
              <w:rPr>
                <w:rFonts w:eastAsia="黑体"/>
                <w:b/>
                <w:sz w:val="21"/>
              </w:rPr>
              <w:t>三次独立重复的均值 ± 标准差</w:t>
            </w:r>
          </w:p>
        </w:tc>
      </w:tr>
      <w:tr>
        <w:tc>
          <w:tcPr>
            <w:tcW w:type="dxa" w:w="4320"/>
          </w:tcPr>
          <w:p>
            <w:pPr>
              <w:jc w:val="center"/>
            </w:pPr>
            <w:r/>
            <w:r>
              <w:rPr>
                <w:rFonts w:eastAsia="宋体"/>
                <w:sz w:val="21"/>
              </w:rPr>
              <w:t>框命中率（IoU≥0.5）</w:t>
            </w:r>
          </w:p>
        </w:tc>
        <w:tc>
          <w:tcPr>
            <w:tcW w:type="dxa" w:w="4320"/>
          </w:tcPr>
          <w:p>
            <w:pPr>
              <w:jc w:val="center"/>
            </w:pPr>
            <w:r/>
            <w:r>
              <w:rPr>
                <w:rFonts w:eastAsia="宋体"/>
                <w:sz w:val="21"/>
              </w:rPr>
              <w:t>0.697 ± 0.073</w:t>
            </w:r>
          </w:p>
        </w:tc>
      </w:tr>
      <w:tr>
        <w:tc>
          <w:tcPr>
            <w:tcW w:type="dxa" w:w="4320"/>
          </w:tcPr>
          <w:p>
            <w:pPr>
              <w:jc w:val="center"/>
            </w:pPr>
            <w:r/>
            <w:r>
              <w:rPr>
                <w:rFonts w:eastAsia="宋体"/>
                <w:sz w:val="21"/>
              </w:rPr>
              <w:t>纯定位精度（剔除漏检后计算）</w:t>
            </w:r>
          </w:p>
        </w:tc>
        <w:tc>
          <w:tcPr>
            <w:tcW w:type="dxa" w:w="4320"/>
          </w:tcPr>
          <w:p>
            <w:pPr>
              <w:jc w:val="center"/>
            </w:pPr>
            <w:r/>
            <w:r>
              <w:rPr>
                <w:rFonts w:eastAsia="宋体"/>
                <w:sz w:val="21"/>
              </w:rPr>
              <w:t>0.808 ± 0.032</w:t>
            </w:r>
          </w:p>
        </w:tc>
      </w:tr>
      <w:tr>
        <w:tc>
          <w:tcPr>
            <w:tcW w:type="dxa" w:w="4320"/>
          </w:tcPr>
          <w:p>
            <w:pPr>
              <w:jc w:val="center"/>
            </w:pPr>
            <w:r/>
            <w:r>
              <w:rPr>
                <w:rFonts w:eastAsia="宋体"/>
                <w:sz w:val="21"/>
              </w:rPr>
              <w:t>单图检测时延（中位数 / p90）</w:t>
            </w:r>
          </w:p>
        </w:tc>
        <w:tc>
          <w:tcPr>
            <w:tcW w:type="dxa" w:w="4320"/>
          </w:tcPr>
          <w:p>
            <w:pPr>
              <w:jc w:val="center"/>
            </w:pPr>
            <w:r/>
            <w:r>
              <w:rPr>
                <w:rFonts w:eastAsia="宋体"/>
                <w:sz w:val="21"/>
              </w:rPr>
              <w:t>173毫秒 / 182毫秒</w:t>
            </w:r>
          </w:p>
        </w:tc>
      </w:tr>
    </w:tbl>
    <w:p>
      <w:pPr>
        <w:spacing w:after="40"/>
      </w:pPr>
    </w:p>
    <w:p>
      <w:pPr>
        <w:spacing w:after="200"/>
      </w:pPr>
      <w:r>
        <w:rPr>
          <w:rFonts w:ascii="Times New Roman" w:hAnsi="Times New Roman" w:eastAsia="宋体"/>
          <w:b w:val="0"/>
          <w:i/>
          <w:sz w:val="19"/>
        </w:rPr>
        <w:t>表3 真实手机屏幕数据上的定位精度。</w:t>
      </w:r>
    </w:p>
    <w:p>
      <w:pPr>
        <w:spacing w:after="160"/>
        <w:ind w:firstLine="420"/>
      </w:pPr>
      <w:r>
        <w:rPr>
          <w:rFonts w:ascii="Times New Roman" w:hAnsi="Times New Roman" w:eastAsia="宋体"/>
          <w:b w:val="0"/>
          <w:i w:val="0"/>
          <w:sz w:val="24"/>
        </w:rPr>
        <w:t>0.697的框命中率是本文全部实验中定位精度最高的读数，高于MVTec多品类混合迁移的0.518与Real-IAD 12品类的0.509（表4）。这一结果的合理性来自数据本身的性质：MVTec中的坚果裂纹、地毯线头属于低对比度纹理缺陷，而手机屏幕的油污与划痕出现在黑色高反光表面上，对比度更高，第3.3节所述的监督分割网络更容易准确捕捉边界。这也意味着此前仅依据公开工业数据集得出的“定位精度约0.5量级”的判断，低估了本系统在真实目标域上的表现。</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eastAsia="黑体"/>
                <w:b/>
                <w:sz w:val="21"/>
              </w:rPr>
              <w:t>数据来源</w:t>
            </w:r>
          </w:p>
        </w:tc>
        <w:tc>
          <w:tcPr>
            <w:tcW w:type="dxa" w:w="4320"/>
          </w:tcPr>
          <w:p>
            <w:pPr>
              <w:jc w:val="center"/>
            </w:pPr>
            <w:r/>
            <w:r>
              <w:rPr>
                <w:rFonts w:eastAsia="黑体"/>
                <w:b/>
                <w:sz w:val="21"/>
              </w:rPr>
              <w:t>框命中率（IoU≥0.5）</w:t>
            </w:r>
          </w:p>
        </w:tc>
      </w:tr>
      <w:tr>
        <w:tc>
          <w:tcPr>
            <w:tcW w:type="dxa" w:w="4320"/>
          </w:tcPr>
          <w:p>
            <w:pPr>
              <w:jc w:val="center"/>
            </w:pPr>
            <w:r/>
            <w:r>
              <w:rPr>
                <w:rFonts w:eastAsia="宋体"/>
                <w:sz w:val="21"/>
              </w:rPr>
              <w:t>MVTec多品类混合迁移</w:t>
            </w:r>
          </w:p>
        </w:tc>
        <w:tc>
          <w:tcPr>
            <w:tcW w:type="dxa" w:w="4320"/>
          </w:tcPr>
          <w:p>
            <w:pPr>
              <w:jc w:val="center"/>
            </w:pPr>
            <w:r/>
            <w:r>
              <w:rPr>
                <w:rFonts w:eastAsia="宋体"/>
                <w:sz w:val="21"/>
              </w:rPr>
              <w:t>0.518</w:t>
            </w:r>
          </w:p>
        </w:tc>
      </w:tr>
      <w:tr>
        <w:tc>
          <w:tcPr>
            <w:tcW w:type="dxa" w:w="4320"/>
          </w:tcPr>
          <w:p>
            <w:pPr>
              <w:jc w:val="center"/>
            </w:pPr>
            <w:r/>
            <w:r>
              <w:rPr>
                <w:rFonts w:eastAsia="宋体"/>
                <w:sz w:val="21"/>
              </w:rPr>
              <w:t>Real-IAD 12品类</w:t>
            </w:r>
          </w:p>
        </w:tc>
        <w:tc>
          <w:tcPr>
            <w:tcW w:type="dxa" w:w="4320"/>
          </w:tcPr>
          <w:p>
            <w:pPr>
              <w:jc w:val="center"/>
            </w:pPr>
            <w:r/>
            <w:r>
              <w:rPr>
                <w:rFonts w:eastAsia="宋体"/>
                <w:sz w:val="21"/>
              </w:rPr>
              <w:t>0.509</w:t>
            </w:r>
          </w:p>
        </w:tc>
      </w:tr>
      <w:tr>
        <w:tc>
          <w:tcPr>
            <w:tcW w:type="dxa" w:w="4320"/>
          </w:tcPr>
          <w:p>
            <w:pPr>
              <w:jc w:val="center"/>
            </w:pPr>
            <w:r/>
            <w:r>
              <w:rPr>
                <w:rFonts w:eastAsia="宋体"/>
                <w:sz w:val="21"/>
              </w:rPr>
              <w:t>真实手机屏幕（隐藏域近似）</w:t>
            </w:r>
          </w:p>
        </w:tc>
        <w:tc>
          <w:tcPr>
            <w:tcW w:type="dxa" w:w="4320"/>
          </w:tcPr>
          <w:p>
            <w:pPr>
              <w:jc w:val="center"/>
            </w:pPr>
            <w:r/>
            <w:r>
              <w:rPr>
                <w:rFonts w:eastAsia="宋体"/>
                <w:sz w:val="21"/>
              </w:rPr>
              <w:t>0.697 ± 0.073</w:t>
            </w:r>
          </w:p>
        </w:tc>
      </w:tr>
    </w:tbl>
    <w:p>
      <w:pPr>
        <w:spacing w:after="40"/>
      </w:pPr>
    </w:p>
    <w:p>
      <w:pPr>
        <w:spacing w:after="200"/>
      </w:pPr>
      <w:r>
        <w:rPr>
          <w:rFonts w:ascii="Times New Roman" w:hAnsi="Times New Roman" w:eastAsia="宋体"/>
          <w:b w:val="0"/>
          <w:i/>
          <w:sz w:val="19"/>
        </w:rPr>
        <w:t>表4 不同数据来源的定位精度对比。</w:t>
      </w:r>
    </w:p>
    <w:p>
      <w:pPr>
        <w:spacing w:after="160"/>
        <w:ind w:firstLine="420"/>
      </w:pPr>
      <w:r>
        <w:rPr>
          <w:rFonts w:ascii="Times New Roman" w:hAnsi="Times New Roman" w:eastAsia="宋体"/>
          <w:b w:val="0"/>
          <w:i w:val="0"/>
          <w:sz w:val="24"/>
        </w:rPr>
        <w:t>本节需要明确两条限制：其一，本节不报告图级判定准确率与误报率，因为该数据集的公开正常样本仅覆盖20个不同手机型号（每型号一张图），而本系统的前提是用100张同一产品的正常图建立正常基准——用15个不同型号建模、再用未见型号测试，判为异常是数据集结构决定的必然结果，与检测方法无关，因此本节仅报告不依赖正常基准建模的定位类指标。其二，含漏检IoU未在本节报告：该数据集的标注为检测框转换的矩形掩膜，而系统输出的是贴合缺陷轮廓的分割掩膜，二者形状差异会系统性压低IoU数值，本节以对形状差异更鲁棒的框命中率为主要指标。</w:t>
      </w:r>
    </w:p>
    <w:p>
      <w:pPr>
        <w:pStyle w:val="Heading2"/>
        <w:spacing w:before="280" w:after="160"/>
      </w:pPr>
      <w:r>
        <w:rPr>
          <w:rFonts w:ascii="Times New Roman" w:hAnsi="Times New Roman" w:eastAsia="黑体"/>
        </w:rPr>
        <w:t>4.4 消融研究与已验证为负的候选</w:t>
      </w:r>
    </w:p>
    <w:p>
      <w:pPr>
        <w:spacing w:after="160"/>
        <w:ind w:firstLine="420"/>
      </w:pPr>
      <w:r>
        <w:rPr>
          <w:rFonts w:ascii="Times New Roman" w:hAnsi="Times New Roman" w:eastAsia="宋体"/>
          <w:b w:val="0"/>
          <w:i w:val="0"/>
          <w:sz w:val="24"/>
        </w:rPr>
        <w:t>表5报告第3.3节所述双头联合训练改动的完整消融对照，这是本文十余项候选中唯一通过第3.6节准入判据的一项。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eastAsia="黑体"/>
                <w:b/>
                <w:sz w:val="21"/>
              </w:rPr>
              <w:t>指标</w:t>
            </w:r>
          </w:p>
        </w:tc>
        <w:tc>
          <w:tcPr>
            <w:tcW w:type="dxa" w:w="2160"/>
          </w:tcPr>
          <w:p>
            <w:pPr>
              <w:jc w:val="center"/>
            </w:pPr>
            <w:r/>
            <w:r>
              <w:rPr>
                <w:rFonts w:eastAsia="黑体"/>
                <w:b/>
                <w:sz w:val="21"/>
              </w:rPr>
              <w:t>两头独立训练（基线）</w:t>
            </w:r>
          </w:p>
        </w:tc>
        <w:tc>
          <w:tcPr>
            <w:tcW w:type="dxa" w:w="2160"/>
          </w:tcPr>
          <w:p>
            <w:pPr>
              <w:jc w:val="center"/>
            </w:pPr>
            <w:r/>
            <w:r>
              <w:rPr>
                <w:rFonts w:eastAsia="黑体"/>
                <w:b/>
                <w:sz w:val="21"/>
              </w:rPr>
              <w:t>双头联合训练</w:t>
            </w:r>
          </w:p>
        </w:tc>
        <w:tc>
          <w:tcPr>
            <w:tcW w:type="dxa" w:w="2160"/>
          </w:tcPr>
          <w:p>
            <w:pPr>
              <w:jc w:val="center"/>
            </w:pPr>
            <w:r/>
            <w:r>
              <w:rPr>
                <w:rFonts w:eastAsia="黑体"/>
                <w:b/>
                <w:sz w:val="21"/>
              </w:rPr>
              <w:t>变化量</w:t>
            </w:r>
          </w:p>
        </w:tc>
      </w:tr>
      <w:tr>
        <w:tc>
          <w:tcPr>
            <w:tcW w:type="dxa" w:w="2160"/>
          </w:tcPr>
          <w:p>
            <w:pPr>
              <w:jc w:val="center"/>
            </w:pPr>
            <w:r/>
            <w:r>
              <w:rPr>
                <w:rFonts w:eastAsia="宋体"/>
                <w:sz w:val="21"/>
              </w:rPr>
              <w:t>图级判定准确率</w:t>
            </w:r>
          </w:p>
        </w:tc>
        <w:tc>
          <w:tcPr>
            <w:tcW w:type="dxa" w:w="2160"/>
          </w:tcPr>
          <w:p>
            <w:pPr>
              <w:jc w:val="center"/>
            </w:pPr>
            <w:r/>
            <w:r>
              <w:rPr>
                <w:rFonts w:eastAsia="宋体"/>
                <w:sz w:val="21"/>
              </w:rPr>
              <w:t>0.909</w:t>
            </w:r>
          </w:p>
        </w:tc>
        <w:tc>
          <w:tcPr>
            <w:tcW w:type="dxa" w:w="2160"/>
          </w:tcPr>
          <w:p>
            <w:pPr>
              <w:jc w:val="center"/>
            </w:pPr>
            <w:r/>
            <w:r>
              <w:rPr>
                <w:rFonts w:eastAsia="宋体"/>
                <w:sz w:val="21"/>
              </w:rPr>
              <w:t>0.920</w:t>
            </w:r>
          </w:p>
        </w:tc>
        <w:tc>
          <w:tcPr>
            <w:tcW w:type="dxa" w:w="2160"/>
          </w:tcPr>
          <w:p>
            <w:pPr>
              <w:jc w:val="center"/>
            </w:pPr>
            <w:r/>
            <w:r>
              <w:rPr>
                <w:rFonts w:eastAsia="宋体"/>
                <w:sz w:val="21"/>
              </w:rPr>
              <w:t>+0.010</w:t>
            </w:r>
          </w:p>
        </w:tc>
      </w:tr>
      <w:tr>
        <w:tc>
          <w:tcPr>
            <w:tcW w:type="dxa" w:w="2160"/>
          </w:tcPr>
          <w:p>
            <w:pPr>
              <w:jc w:val="center"/>
            </w:pPr>
            <w:r/>
            <w:r>
              <w:rPr>
                <w:rFonts w:eastAsia="宋体"/>
                <w:sz w:val="21"/>
              </w:rPr>
              <w:t>含漏检IoU</w:t>
            </w:r>
          </w:p>
        </w:tc>
        <w:tc>
          <w:tcPr>
            <w:tcW w:type="dxa" w:w="2160"/>
          </w:tcPr>
          <w:p>
            <w:pPr>
              <w:jc w:val="center"/>
            </w:pPr>
            <w:r/>
            <w:r>
              <w:rPr>
                <w:rFonts w:eastAsia="宋体"/>
                <w:sz w:val="21"/>
              </w:rPr>
              <w:t>0.506</w:t>
            </w:r>
          </w:p>
        </w:tc>
        <w:tc>
          <w:tcPr>
            <w:tcW w:type="dxa" w:w="2160"/>
          </w:tcPr>
          <w:p>
            <w:pPr>
              <w:jc w:val="center"/>
            </w:pPr>
            <w:r/>
            <w:r>
              <w:rPr>
                <w:rFonts w:eastAsia="宋体"/>
                <w:sz w:val="21"/>
              </w:rPr>
              <w:t>0.511</w:t>
            </w:r>
          </w:p>
        </w:tc>
        <w:tc>
          <w:tcPr>
            <w:tcW w:type="dxa" w:w="2160"/>
          </w:tcPr>
          <w:p>
            <w:pPr>
              <w:jc w:val="center"/>
            </w:pPr>
            <w:r/>
            <w:r>
              <w:rPr>
                <w:rFonts w:eastAsia="宋体"/>
                <w:sz w:val="21"/>
              </w:rPr>
              <w:t>+0.005</w:t>
            </w:r>
          </w:p>
        </w:tc>
      </w:tr>
      <w:tr>
        <w:tc>
          <w:tcPr>
            <w:tcW w:type="dxa" w:w="2160"/>
          </w:tcPr>
          <w:p>
            <w:pPr>
              <w:jc w:val="center"/>
            </w:pPr>
            <w:r/>
            <w:r>
              <w:rPr>
                <w:rFonts w:eastAsia="宋体"/>
                <w:sz w:val="21"/>
              </w:rPr>
              <w:t>框命中率</w:t>
            </w:r>
          </w:p>
        </w:tc>
        <w:tc>
          <w:tcPr>
            <w:tcW w:type="dxa" w:w="2160"/>
          </w:tcPr>
          <w:p>
            <w:pPr>
              <w:jc w:val="center"/>
            </w:pPr>
            <w:r/>
            <w:r>
              <w:rPr>
                <w:rFonts w:eastAsia="宋体"/>
                <w:sz w:val="21"/>
              </w:rPr>
              <w:t>0.554</w:t>
            </w:r>
          </w:p>
        </w:tc>
        <w:tc>
          <w:tcPr>
            <w:tcW w:type="dxa" w:w="2160"/>
          </w:tcPr>
          <w:p>
            <w:pPr>
              <w:jc w:val="center"/>
            </w:pPr>
            <w:r/>
            <w:r>
              <w:rPr>
                <w:rFonts w:eastAsia="宋体"/>
                <w:sz w:val="21"/>
              </w:rPr>
              <w:t>0.582</w:t>
            </w:r>
          </w:p>
        </w:tc>
        <w:tc>
          <w:tcPr>
            <w:tcW w:type="dxa" w:w="2160"/>
          </w:tcPr>
          <w:p>
            <w:pPr>
              <w:jc w:val="center"/>
            </w:pPr>
            <w:r/>
            <w:r>
              <w:rPr>
                <w:rFonts w:eastAsia="宋体"/>
                <w:sz w:val="21"/>
              </w:rPr>
              <w:t>+0.028</w:t>
            </w:r>
          </w:p>
        </w:tc>
      </w:tr>
    </w:tbl>
    <w:p>
      <w:pPr>
        <w:spacing w:after="40"/>
      </w:pPr>
    </w:p>
    <w:p>
      <w:pPr>
        <w:spacing w:after="200"/>
      </w:pPr>
      <w:r>
        <w:rPr>
          <w:rFonts w:ascii="Times New Roman" w:hAnsi="Times New Roman" w:eastAsia="宋体"/>
          <w:b w:val="0"/>
          <w:i/>
          <w:sz w:val="19"/>
        </w:rPr>
        <w:t>表5 双头联合训练消融（生产成绩单口径，5品类均值）。该改动零延时代价，推理结构不变。</w:t>
      </w:r>
    </w:p>
    <w:p>
      <w:pPr>
        <w:spacing w:after="160"/>
        <w:ind w:firstLine="420"/>
      </w:pPr>
      <w:r>
        <w:rPr>
          <w:rFonts w:ascii="Times New Roman" w:hAnsi="Times New Roman" w:eastAsia="宋体"/>
          <w:b w:val="0"/>
          <w:i w:val="0"/>
          <w:sz w:val="24"/>
        </w:rPr>
        <w:t>表6汇总本文验证为负、已回退并封存的主要候选改动。逐条的完整实验设置与失败机制分析见项目内部结果报告，此处仅报告结论以说明本文验证方法论的覆盖广度。</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eastAsia="黑体"/>
                <w:b/>
                <w:sz w:val="21"/>
              </w:rPr>
              <w:t>候选改动</w:t>
            </w:r>
          </w:p>
        </w:tc>
        <w:tc>
          <w:tcPr>
            <w:tcW w:type="dxa" w:w="2880"/>
          </w:tcPr>
          <w:p>
            <w:pPr>
              <w:jc w:val="center"/>
            </w:pPr>
            <w:r/>
            <w:r>
              <w:rPr>
                <w:rFonts w:eastAsia="黑体"/>
                <w:b/>
                <w:sz w:val="21"/>
              </w:rPr>
              <w:t>验证结论</w:t>
            </w:r>
          </w:p>
        </w:tc>
        <w:tc>
          <w:tcPr>
            <w:tcW w:type="dxa" w:w="2880"/>
          </w:tcPr>
          <w:p>
            <w:pPr>
              <w:jc w:val="center"/>
            </w:pPr>
            <w:r/>
            <w:r>
              <w:rPr>
                <w:rFonts w:eastAsia="黑体"/>
                <w:b/>
                <w:sz w:val="21"/>
              </w:rPr>
              <w:t>关键依据</w:t>
            </w:r>
          </w:p>
        </w:tc>
      </w:tr>
      <w:tr>
        <w:tc>
          <w:tcPr>
            <w:tcW w:type="dxa" w:w="2880"/>
          </w:tcPr>
          <w:p>
            <w:pPr>
              <w:jc w:val="center"/>
            </w:pPr>
            <w:r/>
            <w:r>
              <w:rPr>
                <w:rFonts w:eastAsia="宋体"/>
                <w:sz w:val="21"/>
              </w:rPr>
              <w:t>检测层深层语义特征拼接</w:t>
            </w:r>
          </w:p>
        </w:tc>
        <w:tc>
          <w:tcPr>
            <w:tcW w:type="dxa" w:w="2880"/>
          </w:tcPr>
          <w:p>
            <w:pPr>
              <w:jc w:val="center"/>
            </w:pPr>
            <w:r/>
            <w:r>
              <w:rPr>
                <w:rFonts w:eastAsia="宋体"/>
                <w:sz w:val="21"/>
              </w:rPr>
              <w:t>判负</w:t>
            </w:r>
          </w:p>
        </w:tc>
        <w:tc>
          <w:tcPr>
            <w:tcW w:type="dxa" w:w="2880"/>
          </w:tcPr>
          <w:p>
            <w:pPr>
              <w:jc w:val="center"/>
            </w:pPr>
            <w:r/>
            <w:r>
              <w:rPr>
                <w:rFonts w:eastAsia="宋体"/>
                <w:sz w:val="21"/>
              </w:rPr>
              <w:t>精度未达准入门槛，且延时增加约70毫秒</w:t>
            </w:r>
          </w:p>
        </w:tc>
      </w:tr>
      <w:tr>
        <w:tc>
          <w:tcPr>
            <w:tcW w:type="dxa" w:w="2880"/>
          </w:tcPr>
          <w:p>
            <w:pPr>
              <w:jc w:val="center"/>
            </w:pPr>
            <w:r/>
            <w:r>
              <w:rPr>
                <w:rFonts w:eastAsia="宋体"/>
                <w:sz w:val="21"/>
              </w:rPr>
              <w:t>定位特征分辨率512→1024</w:t>
            </w:r>
          </w:p>
        </w:tc>
        <w:tc>
          <w:tcPr>
            <w:tcW w:type="dxa" w:w="2880"/>
          </w:tcPr>
          <w:p>
            <w:pPr>
              <w:jc w:val="center"/>
            </w:pPr>
            <w:r/>
            <w:r>
              <w:rPr>
                <w:rFonts w:eastAsia="宋体"/>
                <w:sz w:val="21"/>
              </w:rPr>
              <w:t>判死</w:t>
            </w:r>
          </w:p>
        </w:tc>
        <w:tc>
          <w:tcPr>
            <w:tcW w:type="dxa" w:w="2880"/>
          </w:tcPr>
          <w:p>
            <w:pPr>
              <w:jc w:val="center"/>
            </w:pPr>
            <w:r/>
            <w:r>
              <w:rPr>
                <w:rFonts w:eastAsia="宋体"/>
                <w:sz w:val="21"/>
              </w:rPr>
              <w:t>8GB显卡显存溢出，目标硬件RTX 2060仅6GB更不可行</w:t>
            </w:r>
          </w:p>
        </w:tc>
      </w:tr>
      <w:tr>
        <w:tc>
          <w:tcPr>
            <w:tcW w:type="dxa" w:w="2880"/>
          </w:tcPr>
          <w:p>
            <w:pPr>
              <w:jc w:val="center"/>
            </w:pPr>
            <w:r/>
            <w:r>
              <w:rPr>
                <w:rFonts w:eastAsia="宋体"/>
                <w:sz w:val="21"/>
              </w:rPr>
              <w:t>分割图作为图级判据</w:t>
            </w:r>
          </w:p>
        </w:tc>
        <w:tc>
          <w:tcPr>
            <w:tcW w:type="dxa" w:w="2880"/>
          </w:tcPr>
          <w:p>
            <w:pPr>
              <w:jc w:val="center"/>
            </w:pPr>
            <w:r/>
            <w:r>
              <w:rPr>
                <w:rFonts w:eastAsia="宋体"/>
                <w:sz w:val="21"/>
              </w:rPr>
              <w:t>判死</w:t>
            </w:r>
          </w:p>
        </w:tc>
        <w:tc>
          <w:tcPr>
            <w:tcW w:type="dxa" w:w="2880"/>
          </w:tcPr>
          <w:p>
            <w:pPr>
              <w:jc w:val="center"/>
            </w:pPr>
            <w:r/>
            <w:r>
              <w:rPr>
                <w:rFonts w:eastAsia="宋体"/>
                <w:sz w:val="21"/>
              </w:rPr>
              <w:t>正常图无法早退，延时由173毫秒增至265毫秒，超预算</w:t>
            </w:r>
          </w:p>
        </w:tc>
      </w:tr>
      <w:tr>
        <w:tc>
          <w:tcPr>
            <w:tcW w:type="dxa" w:w="2880"/>
          </w:tcPr>
          <w:p>
            <w:pPr>
              <w:jc w:val="center"/>
            </w:pPr>
            <w:r/>
            <w:r>
              <w:rPr>
                <w:rFonts w:eastAsia="宋体"/>
                <w:sz w:val="21"/>
              </w:rPr>
              <w:t>正常样本模态聚类（AHL原语）</w:t>
            </w:r>
          </w:p>
        </w:tc>
        <w:tc>
          <w:tcPr>
            <w:tcW w:type="dxa" w:w="2880"/>
          </w:tcPr>
          <w:p>
            <w:pPr>
              <w:jc w:val="center"/>
            </w:pPr>
            <w:r/>
            <w:r>
              <w:rPr>
                <w:rFonts w:eastAsia="宋体"/>
                <w:sz w:val="21"/>
              </w:rPr>
              <w:t>判负</w:t>
            </w:r>
          </w:p>
        </w:tc>
        <w:tc>
          <w:tcPr>
            <w:tcW w:type="dxa" w:w="2880"/>
          </w:tcPr>
          <w:p>
            <w:pPr>
              <w:jc w:val="center"/>
            </w:pPr>
            <w:r/>
            <w:r>
              <w:rPr>
                <w:rFonts w:eastAsia="宋体"/>
                <w:sz w:val="21"/>
              </w:rPr>
              <w:t>3品类混合迁移下判定准确率由0.946降至0.905</w:t>
            </w:r>
          </w:p>
        </w:tc>
      </w:tr>
      <w:tr>
        <w:tc>
          <w:tcPr>
            <w:tcW w:type="dxa" w:w="2880"/>
          </w:tcPr>
          <w:p>
            <w:pPr>
              <w:jc w:val="center"/>
            </w:pPr>
            <w:r/>
            <w:r>
              <w:rPr>
                <w:rFonts w:eastAsia="宋体"/>
                <w:sz w:val="21"/>
              </w:rPr>
              <w:t>判决阈值改用普通准确率而非平衡准确率</w:t>
            </w:r>
          </w:p>
        </w:tc>
        <w:tc>
          <w:tcPr>
            <w:tcW w:type="dxa" w:w="2880"/>
          </w:tcPr>
          <w:p>
            <w:pPr>
              <w:jc w:val="center"/>
            </w:pPr>
            <w:r/>
            <w:r>
              <w:rPr>
                <w:rFonts w:eastAsia="宋体"/>
                <w:sz w:val="21"/>
              </w:rPr>
              <w:t>判负</w:t>
            </w:r>
          </w:p>
        </w:tc>
        <w:tc>
          <w:tcPr>
            <w:tcW w:type="dxa" w:w="2880"/>
          </w:tcPr>
          <w:p>
            <w:pPr>
              <w:jc w:val="center"/>
            </w:pPr>
            <w:r/>
            <w:r>
              <w:rPr>
                <w:rFonts w:eastAsia="宋体"/>
                <w:sz w:val="21"/>
              </w:rPr>
              <w:t>两类分数重叠且正常样本占多数时会退化为“永不报警”</w:t>
            </w:r>
          </w:p>
        </w:tc>
      </w:tr>
      <w:tr>
        <w:tc>
          <w:tcPr>
            <w:tcW w:type="dxa" w:w="2880"/>
          </w:tcPr>
          <w:p>
            <w:pPr>
              <w:jc w:val="center"/>
            </w:pPr>
            <w:r/>
            <w:r>
              <w:rPr>
                <w:rFonts w:eastAsia="宋体"/>
                <w:sz w:val="21"/>
              </w:rPr>
              <w:t>WRN-LoRA微调骨干</w:t>
            </w:r>
          </w:p>
        </w:tc>
        <w:tc>
          <w:tcPr>
            <w:tcW w:type="dxa" w:w="2880"/>
          </w:tcPr>
          <w:p>
            <w:pPr>
              <w:jc w:val="center"/>
            </w:pPr>
            <w:r/>
            <w:r>
              <w:rPr>
                <w:rFonts w:eastAsia="宋体"/>
                <w:sz w:val="21"/>
              </w:rPr>
              <w:t>判负</w:t>
            </w:r>
          </w:p>
        </w:tc>
        <w:tc>
          <w:tcPr>
            <w:tcW w:type="dxa" w:w="2880"/>
          </w:tcPr>
          <w:p>
            <w:pPr>
              <w:jc w:val="center"/>
            </w:pPr>
            <w:r/>
            <w:r>
              <w:rPr>
                <w:rFonts w:eastAsia="宋体"/>
                <w:sz w:val="21"/>
              </w:rPr>
              <w:t>含修复梯度截断缺陷后的真实微调，仍为负收益</w:t>
            </w:r>
          </w:p>
        </w:tc>
      </w:tr>
      <w:tr>
        <w:tc>
          <w:tcPr>
            <w:tcW w:type="dxa" w:w="2880"/>
          </w:tcPr>
          <w:p>
            <w:pPr>
              <w:jc w:val="center"/>
            </w:pPr>
            <w:r/>
            <w:r>
              <w:rPr>
                <w:rFonts w:eastAsia="宋体"/>
                <w:sz w:val="21"/>
              </w:rPr>
              <w:t>GCAD风格全局重建分支</w:t>
            </w:r>
          </w:p>
        </w:tc>
        <w:tc>
          <w:tcPr>
            <w:tcW w:type="dxa" w:w="2880"/>
          </w:tcPr>
          <w:p>
            <w:pPr>
              <w:jc w:val="center"/>
            </w:pPr>
            <w:r/>
            <w:r>
              <w:rPr>
                <w:rFonts w:eastAsia="宋体"/>
                <w:sz w:val="21"/>
              </w:rPr>
              <w:t>曾误接入生产又回退</w:t>
            </w:r>
          </w:p>
        </w:tc>
        <w:tc>
          <w:tcPr>
            <w:tcW w:type="dxa" w:w="2880"/>
          </w:tcPr>
          <w:p>
            <w:pPr>
              <w:jc w:val="center"/>
            </w:pPr>
            <w:r/>
            <w:r>
              <w:rPr>
                <w:rFonts w:eastAsia="宋体"/>
                <w:sz w:val="21"/>
              </w:rPr>
              <w:t>仅测缺陷图IoU时表现正向，补测正常图后判定准确率由0.902崩至0.703</w:t>
            </w:r>
          </w:p>
        </w:tc>
      </w:tr>
    </w:tbl>
    <w:p>
      <w:pPr>
        <w:spacing w:after="40"/>
      </w:pPr>
    </w:p>
    <w:p>
      <w:pPr>
        <w:spacing w:after="200"/>
      </w:pPr>
      <w:r>
        <w:rPr>
          <w:rFonts w:ascii="Times New Roman" w:hAnsi="Times New Roman" w:eastAsia="宋体"/>
          <w:b w:val="0"/>
          <w:i/>
          <w:sz w:val="19"/>
        </w:rPr>
        <w:t>表6 已验证为负的候选改动汇总（不完整列举，完整记录见项目内部文档）。</w:t>
      </w:r>
    </w:p>
    <w:p>
      <w:pPr>
        <w:spacing w:after="160"/>
        <w:ind w:firstLine="420"/>
      </w:pPr>
      <w:r>
        <w:rPr>
          <w:rFonts w:ascii="Times New Roman" w:hAnsi="Times New Roman" w:eastAsia="宋体"/>
          <w:b w:val="0"/>
          <w:i w:val="0"/>
          <w:sz w:val="24"/>
        </w:rPr>
        <w:t>表6中GCAD风格全局重建分支一项值得单独说明，因为它揭示了一类容易被忽视的验证方法论漏洞：该分支最初的验证仅测量了缺陷图上的定位IoU提升，从未测量正常图上的误报率变化，据此判定为正收益并短暂并入生产配置。补充完整成绩单（同时包含正常图）复测后发现图级判定准确率由0.902骤降至0.703——独立阈值的引入在正常样本占多数的真实测试流中放大了误报的绝对数量，而这一代价在仅看缺陷图的验证中完全不可见。该教训已被写入本文第3.6节的验证方法论：任何候选改动的验证必须同时覆盖正常样本的误报率与缺陷样本的召回率，缺一不可。</w:t>
      </w:r>
    </w:p>
    <w:p>
      <w:pPr>
        <w:pStyle w:val="Heading2"/>
        <w:spacing w:before="280" w:after="160"/>
      </w:pPr>
      <w:r>
        <w:rPr>
          <w:rFonts w:ascii="Times New Roman" w:hAnsi="Times New Roman" w:eastAsia="黑体"/>
        </w:rPr>
        <w:t>4.5 检测时间分析</w:t>
      </w:r>
    </w:p>
    <w:p>
      <w:pPr>
        <w:spacing w:after="160"/>
        <w:ind w:firstLine="420"/>
      </w:pPr>
      <w:r>
        <w:rPr>
          <w:rFonts w:ascii="Times New Roman" w:hAnsi="Times New Roman" w:eastAsia="宋体"/>
          <w:b w:val="0"/>
          <w:i w:val="0"/>
          <w:sz w:val="24"/>
        </w:rPr>
        <w:t>表7报告在赛题真实输入尺寸2500×2500下、四种GPU频率配置的检测时延分布（`scripts/eval_phone_stitch.py`，预热后计时）。</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eastAsia="黑体"/>
                <w:b/>
                <w:sz w:val="21"/>
              </w:rPr>
              <w:t>配置</w:t>
            </w:r>
          </w:p>
        </w:tc>
        <w:tc>
          <w:tcPr>
            <w:tcW w:type="dxa" w:w="1728"/>
          </w:tcPr>
          <w:p>
            <w:pPr>
              <w:jc w:val="center"/>
            </w:pPr>
            <w:r/>
            <w:r>
              <w:rPr>
                <w:rFonts w:eastAsia="黑体"/>
                <w:b/>
                <w:sz w:val="21"/>
              </w:rPr>
              <w:t>中位数</w:t>
            </w:r>
          </w:p>
        </w:tc>
        <w:tc>
          <w:tcPr>
            <w:tcW w:type="dxa" w:w="1728"/>
          </w:tcPr>
          <w:p>
            <w:pPr>
              <w:jc w:val="center"/>
            </w:pPr>
            <w:r/>
            <w:r>
              <w:rPr>
                <w:rFonts w:eastAsia="黑体"/>
                <w:b/>
                <w:sz w:val="21"/>
              </w:rPr>
              <w:t>p90</w:t>
            </w:r>
          </w:p>
        </w:tc>
        <w:tc>
          <w:tcPr>
            <w:tcW w:type="dxa" w:w="1728"/>
          </w:tcPr>
          <w:p>
            <w:pPr>
              <w:jc w:val="center"/>
            </w:pPr>
            <w:r/>
            <w:r>
              <w:rPr>
                <w:rFonts w:eastAsia="黑体"/>
                <w:b/>
                <w:sz w:val="21"/>
              </w:rPr>
              <w:t>最大值</w:t>
            </w:r>
          </w:p>
        </w:tc>
        <w:tc>
          <w:tcPr>
            <w:tcW w:type="dxa" w:w="1728"/>
          </w:tcPr>
          <w:p>
            <w:pPr>
              <w:jc w:val="center"/>
            </w:pPr>
            <w:r/>
            <w:r>
              <w:rPr>
                <w:rFonts w:eastAsia="黑体"/>
                <w:b/>
                <w:sz w:val="21"/>
              </w:rPr>
              <w:t>分布跨度</w:t>
            </w:r>
          </w:p>
        </w:tc>
      </w:tr>
      <w:tr>
        <w:tc>
          <w:tcPr>
            <w:tcW w:type="dxa" w:w="1728"/>
          </w:tcPr>
          <w:p>
            <w:pPr>
              <w:jc w:val="center"/>
            </w:pPr>
            <w:r/>
            <w:r>
              <w:rPr>
                <w:rFonts w:eastAsia="宋体"/>
                <w:sz w:val="21"/>
              </w:rPr>
              <w:t>RTX 4060 Laptop（Ada架构）原生</w:t>
            </w:r>
          </w:p>
        </w:tc>
        <w:tc>
          <w:tcPr>
            <w:tcW w:type="dxa" w:w="1728"/>
          </w:tcPr>
          <w:p>
            <w:pPr>
              <w:jc w:val="center"/>
            </w:pPr>
            <w:r/>
            <w:r>
              <w:rPr>
                <w:rFonts w:eastAsia="宋体"/>
                <w:sz w:val="21"/>
              </w:rPr>
              <w:t>97ms</w:t>
            </w:r>
          </w:p>
        </w:tc>
        <w:tc>
          <w:tcPr>
            <w:tcW w:type="dxa" w:w="1728"/>
          </w:tcPr>
          <w:p>
            <w:pPr>
              <w:jc w:val="center"/>
            </w:pPr>
            <w:r/>
            <w:r>
              <w:rPr>
                <w:rFonts w:eastAsia="宋体"/>
                <w:sz w:val="21"/>
              </w:rPr>
              <w:t>99ms</w:t>
            </w:r>
          </w:p>
        </w:tc>
        <w:tc>
          <w:tcPr>
            <w:tcW w:type="dxa" w:w="1728"/>
          </w:tcPr>
          <w:p>
            <w:pPr>
              <w:jc w:val="center"/>
            </w:pPr>
            <w:r/>
            <w:r>
              <w:rPr>
                <w:rFonts w:eastAsia="宋体"/>
                <w:sz w:val="21"/>
              </w:rPr>
              <w:t>105ms</w:t>
            </w:r>
          </w:p>
        </w:tc>
        <w:tc>
          <w:tcPr>
            <w:tcW w:type="dxa" w:w="1728"/>
          </w:tcPr>
          <w:p>
            <w:pPr>
              <w:jc w:val="center"/>
            </w:pPr>
            <w:r/>
            <w:r>
              <w:rPr>
                <w:rFonts w:eastAsia="宋体"/>
                <w:sz w:val="21"/>
              </w:rPr>
              <w:t>8ms</w:t>
            </w:r>
          </w:p>
        </w:tc>
      </w:tr>
      <w:tr>
        <w:tc>
          <w:tcPr>
            <w:tcW w:type="dxa" w:w="1728"/>
          </w:tcPr>
          <w:p>
            <w:pPr>
              <w:jc w:val="center"/>
            </w:pPr>
            <w:r/>
            <w:r>
              <w:rPr>
                <w:rFonts w:eastAsia="宋体"/>
                <w:sz w:val="21"/>
              </w:rPr>
              <w:t>RTX 2070 SUPER（Turing架构）原生</w:t>
            </w:r>
          </w:p>
        </w:tc>
        <w:tc>
          <w:tcPr>
            <w:tcW w:type="dxa" w:w="1728"/>
          </w:tcPr>
          <w:p>
            <w:pPr>
              <w:jc w:val="center"/>
            </w:pPr>
            <w:r/>
            <w:r>
              <w:rPr>
                <w:rFonts w:eastAsia="宋体"/>
                <w:sz w:val="21"/>
              </w:rPr>
              <w:t>129ms</w:t>
            </w:r>
          </w:p>
        </w:tc>
        <w:tc>
          <w:tcPr>
            <w:tcW w:type="dxa" w:w="1728"/>
          </w:tcPr>
          <w:p>
            <w:pPr>
              <w:jc w:val="center"/>
            </w:pPr>
            <w:r/>
            <w:r>
              <w:rPr>
                <w:rFonts w:eastAsia="宋体"/>
                <w:sz w:val="21"/>
              </w:rPr>
              <w:t>131ms</w:t>
            </w:r>
          </w:p>
        </w:tc>
        <w:tc>
          <w:tcPr>
            <w:tcW w:type="dxa" w:w="1728"/>
          </w:tcPr>
          <w:p>
            <w:pPr>
              <w:jc w:val="center"/>
            </w:pPr>
            <w:r/>
            <w:r>
              <w:rPr>
                <w:rFonts w:eastAsia="宋体"/>
                <w:sz w:val="21"/>
              </w:rPr>
              <w:t>139ms</w:t>
            </w:r>
          </w:p>
        </w:tc>
        <w:tc>
          <w:tcPr>
            <w:tcW w:type="dxa" w:w="1728"/>
          </w:tcPr>
          <w:p>
            <w:pPr>
              <w:jc w:val="center"/>
            </w:pPr>
            <w:r/>
            <w:r>
              <w:rPr>
                <w:rFonts w:eastAsia="宋体"/>
                <w:sz w:val="21"/>
              </w:rPr>
              <w:t>10ms</w:t>
            </w:r>
          </w:p>
        </w:tc>
      </w:tr>
      <w:tr>
        <w:tc>
          <w:tcPr>
            <w:tcW w:type="dxa" w:w="1728"/>
          </w:tcPr>
          <w:p>
            <w:pPr>
              <w:jc w:val="center"/>
            </w:pPr>
            <w:r/>
            <w:r>
              <w:rPr>
                <w:rFonts w:eastAsia="宋体"/>
                <w:sz w:val="21"/>
              </w:rPr>
              <w:t>RTX 2070 SUPER @1875MHz锁频</w:t>
            </w:r>
          </w:p>
        </w:tc>
        <w:tc>
          <w:tcPr>
            <w:tcW w:type="dxa" w:w="1728"/>
          </w:tcPr>
          <w:p>
            <w:pPr>
              <w:jc w:val="center"/>
            </w:pPr>
            <w:r/>
            <w:r>
              <w:rPr>
                <w:rFonts w:eastAsia="宋体"/>
                <w:sz w:val="21"/>
              </w:rPr>
              <w:t>113ms</w:t>
            </w:r>
          </w:p>
        </w:tc>
        <w:tc>
          <w:tcPr>
            <w:tcW w:type="dxa" w:w="1728"/>
          </w:tcPr>
          <w:p>
            <w:pPr>
              <w:jc w:val="center"/>
            </w:pPr>
            <w:r/>
            <w:r>
              <w:rPr>
                <w:rFonts w:eastAsia="宋体"/>
                <w:sz w:val="21"/>
              </w:rPr>
              <w:t>118ms</w:t>
            </w:r>
          </w:p>
        </w:tc>
        <w:tc>
          <w:tcPr>
            <w:tcW w:type="dxa" w:w="1728"/>
          </w:tcPr>
          <w:p>
            <w:pPr>
              <w:jc w:val="center"/>
            </w:pPr>
            <w:r/>
            <w:r>
              <w:rPr>
                <w:rFonts w:eastAsia="宋体"/>
                <w:sz w:val="21"/>
              </w:rPr>
              <w:t>149ms</w:t>
            </w:r>
          </w:p>
        </w:tc>
        <w:tc>
          <w:tcPr>
            <w:tcW w:type="dxa" w:w="1728"/>
          </w:tcPr>
          <w:p>
            <w:pPr>
              <w:jc w:val="center"/>
            </w:pPr>
            <w:r/>
            <w:r>
              <w:rPr>
                <w:rFonts w:eastAsia="宋体"/>
                <w:sz w:val="21"/>
              </w:rPr>
              <w:t>36ms</w:t>
            </w:r>
          </w:p>
        </w:tc>
      </w:tr>
      <w:tr>
        <w:tc>
          <w:tcPr>
            <w:tcW w:type="dxa" w:w="1728"/>
          </w:tcPr>
          <w:p>
            <w:pPr>
              <w:jc w:val="center"/>
            </w:pPr>
            <w:r/>
            <w:r>
              <w:rPr>
                <w:rFonts w:eastAsia="宋体"/>
                <w:sz w:val="21"/>
              </w:rPr>
              <w:t>RTX 2070 SUPER @1260MHz锁频</w:t>
            </w:r>
          </w:p>
        </w:tc>
        <w:tc>
          <w:tcPr>
            <w:tcW w:type="dxa" w:w="1728"/>
          </w:tcPr>
          <w:p>
            <w:pPr>
              <w:jc w:val="center"/>
            </w:pPr>
            <w:r/>
            <w:r>
              <w:rPr>
                <w:rFonts w:eastAsia="宋体"/>
                <w:sz w:val="21"/>
              </w:rPr>
              <w:t>113ms</w:t>
            </w:r>
          </w:p>
        </w:tc>
        <w:tc>
          <w:tcPr>
            <w:tcW w:type="dxa" w:w="1728"/>
          </w:tcPr>
          <w:p>
            <w:pPr>
              <w:jc w:val="center"/>
            </w:pPr>
            <w:r/>
            <w:r>
              <w:rPr>
                <w:rFonts w:eastAsia="宋体"/>
                <w:sz w:val="21"/>
              </w:rPr>
              <w:t>114ms</w:t>
            </w:r>
          </w:p>
        </w:tc>
        <w:tc>
          <w:tcPr>
            <w:tcW w:type="dxa" w:w="1728"/>
          </w:tcPr>
          <w:p>
            <w:pPr>
              <w:jc w:val="center"/>
            </w:pPr>
            <w:r/>
            <w:r>
              <w:rPr>
                <w:rFonts w:eastAsia="宋体"/>
                <w:sz w:val="21"/>
              </w:rPr>
              <w:t>115ms</w:t>
            </w:r>
          </w:p>
        </w:tc>
        <w:tc>
          <w:tcPr>
            <w:tcW w:type="dxa" w:w="1728"/>
          </w:tcPr>
          <w:p>
            <w:pPr>
              <w:jc w:val="center"/>
            </w:pPr>
            <w:r/>
            <w:r>
              <w:rPr>
                <w:rFonts w:eastAsia="宋体"/>
                <w:sz w:val="21"/>
              </w:rPr>
              <w:t>2ms</w:t>
            </w:r>
          </w:p>
        </w:tc>
      </w:tr>
    </w:tbl>
    <w:p>
      <w:pPr>
        <w:spacing w:after="40"/>
      </w:pPr>
    </w:p>
    <w:p>
      <w:pPr>
        <w:spacing w:after="200"/>
      </w:pPr>
      <w:r>
        <w:rPr>
          <w:rFonts w:ascii="Times New Roman" w:hAnsi="Times New Roman" w:eastAsia="宋体"/>
          <w:b w:val="0"/>
          <w:i/>
          <w:sz w:val="19"/>
        </w:rPr>
        <w:t>表7 2500×2500输入下的检测时延（预算200毫秒）。全部配置均在预算内。</w:t>
      </w:r>
    </w:p>
    <w:p>
      <w:pPr>
        <w:spacing w:after="160"/>
        <w:ind w:firstLine="420"/>
      </w:pPr>
      <w:r>
        <w:rPr>
          <w:rFonts w:ascii="Times New Roman" w:hAnsi="Times New Roman" w:eastAsia="宋体"/>
          <w:b w:val="0"/>
          <w:i w:val="0"/>
          <w:sz w:val="24"/>
        </w:rPr>
        <w:t>表7的关键发现是：核心频率从1875MHz降至1260MHz（降幅33%），中位时延完全不变（113ms），p90仅相差4ms。这表明本系统在2500×2500分辨率下的时延瓶颈不在GPU计算吞吐，而在其他环节（如CPU侧的图像解码、连通域分析等操作）。据此推断赛题目标硬件RTX 2060守住200毫秒预算没有悬念——不是因为余量充裕，而是因为换用计算吞吐更低的GPU对总时延的影响本身很小。仍需保留的不确定性是RTX 2060相对更低的显存带宽（336 GB/s vs. 448 GB/s）与更小的显存容量（6GB vs. 8GB），二者未能通过降频实验完整代理验证。</w:t>
      </w:r>
    </w:p>
    <w:p>
      <w:pPr>
        <w:spacing w:after="160"/>
        <w:ind w:firstLine="420"/>
      </w:pPr>
      <w:r>
        <w:rPr>
          <w:rFonts w:ascii="Times New Roman" w:hAnsi="Times New Roman" w:eastAsia="宋体"/>
          <w:b w:val="0"/>
          <w:i w:val="0"/>
          <w:sz w:val="24"/>
        </w:rPr>
        <w:t>延时的逐段分解（对locate函数插入同步计时点测量）进一步排除了两处此前的错误判断：其一，MobileSAM受控精化模块在生产配置下的逐区域门控已使全部候选区域短路（第3.3节），实测该模块中位耗时仅0.1毫秒，此前将其列入“可裁剪以节省延时”的候选清单是错误的——裁剪它不会节省任何时间，反而因为掩膜面积增大而推高归因层的计算量（下一段说明）；其二，归因层（第3.4节所述质心分类）此前被认为是“微秒级”开销，逐段计时表明其实际中位耗时可达17.8～89.4毫秒，与候选区域掩膜面积成正比——已通过对掩膜像素设置采样上限加以控制。这两处修正均已体现在第3.3、3.4节的最终设计中，此处报告是为了说明逐段计时对暴露隐藏假设的必要性。</w:t>
      </w:r>
    </w:p>
    <w:p>
      <w:pPr>
        <w:pStyle w:val="Heading2"/>
        <w:spacing w:before="280" w:after="160"/>
      </w:pPr>
      <w:r>
        <w:rPr>
          <w:rFonts w:ascii="Times New Roman" w:hAnsi="Times New Roman" w:eastAsia="黑体"/>
        </w:rPr>
        <w:t>4.6 缺陷类型归属实验</w:t>
      </w:r>
    </w:p>
    <w:p>
      <w:pPr>
        <w:spacing w:after="160"/>
        <w:ind w:firstLine="420"/>
      </w:pPr>
      <w:r>
        <w:rPr>
          <w:rFonts w:ascii="Times New Roman" w:hAnsi="Times New Roman" w:eastAsia="宋体"/>
          <w:b w:val="0"/>
          <w:i w:val="0"/>
          <w:sz w:val="24"/>
        </w:rPr>
        <w:t>表8报告缺陷类型归属方法的演进，每一步均为独立实测。</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rFonts w:eastAsia="黑体"/>
                <w:b/>
                <w:sz w:val="21"/>
              </w:rPr>
              <w:t>方法</w:t>
            </w:r>
          </w:p>
        </w:tc>
        <w:tc>
          <w:tcPr>
            <w:tcW w:type="dxa" w:w="4320"/>
          </w:tcPr>
          <w:p>
            <w:pPr>
              <w:jc w:val="center"/>
            </w:pPr>
            <w:r/>
            <w:r>
              <w:rPr>
                <w:rFonts w:eastAsia="黑体"/>
                <w:b/>
                <w:sz w:val="21"/>
              </w:rPr>
              <w:t>类型归属准确率</w:t>
            </w:r>
          </w:p>
        </w:tc>
      </w:tr>
      <w:tr>
        <w:tc>
          <w:tcPr>
            <w:tcW w:type="dxa" w:w="4320"/>
          </w:tcPr>
          <w:p>
            <w:pPr>
              <w:jc w:val="center"/>
            </w:pPr>
            <w:r/>
            <w:r>
              <w:rPr>
                <w:rFonts w:eastAsia="宋体"/>
                <w:sz w:val="21"/>
              </w:rPr>
              <w:t>检测分支异常分数取最大值判别（基线）</w:t>
            </w:r>
          </w:p>
        </w:tc>
        <w:tc>
          <w:tcPr>
            <w:tcW w:type="dxa" w:w="4320"/>
          </w:tcPr>
          <w:p>
            <w:pPr>
              <w:jc w:val="center"/>
            </w:pPr>
            <w:r/>
            <w:r>
              <w:rPr>
                <w:rFonts w:eastAsia="宋体"/>
                <w:sz w:val="21"/>
              </w:rPr>
              <w:t>50%</w:t>
            </w:r>
          </w:p>
        </w:tc>
      </w:tr>
      <w:tr>
        <w:tc>
          <w:tcPr>
            <w:tcW w:type="dxa" w:w="4320"/>
          </w:tcPr>
          <w:p>
            <w:pPr>
              <w:jc w:val="center"/>
            </w:pPr>
            <w:r/>
            <w:r>
              <w:rPr>
                <w:rFonts w:eastAsia="宋体"/>
                <w:sz w:val="21"/>
              </w:rPr>
              <w:t>改用位置匹配判别特征</w:t>
            </w:r>
          </w:p>
        </w:tc>
        <w:tc>
          <w:tcPr>
            <w:tcW w:type="dxa" w:w="4320"/>
          </w:tcPr>
          <w:p>
            <w:pPr>
              <w:jc w:val="center"/>
            </w:pPr>
            <w:r/>
            <w:r>
              <w:rPr>
                <w:rFonts w:eastAsia="宋体"/>
                <w:sz w:val="21"/>
              </w:rPr>
              <w:t>58%</w:t>
            </w:r>
          </w:p>
        </w:tc>
      </w:tr>
      <w:tr>
        <w:tc>
          <w:tcPr>
            <w:tcW w:type="dxa" w:w="4320"/>
          </w:tcPr>
          <w:p>
            <w:pPr>
              <w:jc w:val="center"/>
            </w:pPr>
            <w:r/>
            <w:r>
              <w:rPr>
                <w:rFonts w:eastAsia="宋体"/>
                <w:sz w:val="21"/>
              </w:rPr>
              <w:t>视觉语言模型单图对比（fit期标注+质心蒸馏）</w:t>
            </w:r>
          </w:p>
        </w:tc>
        <w:tc>
          <w:tcPr>
            <w:tcW w:type="dxa" w:w="4320"/>
          </w:tcPr>
          <w:p>
            <w:pPr>
              <w:jc w:val="center"/>
            </w:pPr>
            <w:r/>
            <w:r>
              <w:rPr>
                <w:rFonts w:eastAsia="宋体"/>
                <w:sz w:val="21"/>
              </w:rPr>
              <w:t>77%（真值掩膜下的离线上界）</w:t>
            </w:r>
          </w:p>
        </w:tc>
      </w:tr>
      <w:tr>
        <w:tc>
          <w:tcPr>
            <w:tcW w:type="dxa" w:w="4320"/>
          </w:tcPr>
          <w:p>
            <w:pPr>
              <w:jc w:val="center"/>
            </w:pPr>
            <w:r/>
            <w:r>
              <w:rPr>
                <w:rFonts w:eastAsia="宋体"/>
                <w:sz w:val="21"/>
              </w:rPr>
              <w:t>视觉语言模型双图对比（本文方法，真值掩膜）</w:t>
            </w:r>
          </w:p>
        </w:tc>
        <w:tc>
          <w:tcPr>
            <w:tcW w:type="dxa" w:w="4320"/>
          </w:tcPr>
          <w:p>
            <w:pPr>
              <w:jc w:val="center"/>
            </w:pPr>
            <w:r/>
            <w:r>
              <w:rPr>
                <w:rFonts w:eastAsia="宋体"/>
                <w:sz w:val="21"/>
              </w:rPr>
              <w:t>87%（真值掩膜下的离线上界）</w:t>
            </w:r>
          </w:p>
        </w:tc>
      </w:tr>
      <w:tr>
        <w:tc>
          <w:tcPr>
            <w:tcW w:type="dxa" w:w="4320"/>
          </w:tcPr>
          <w:p>
            <w:pPr>
              <w:jc w:val="center"/>
            </w:pPr>
            <w:r/>
            <w:r>
              <w:rPr>
                <w:rFonts w:eastAsia="宋体"/>
                <w:sz w:val="21"/>
              </w:rPr>
              <w:t>双图对比端到端（使用系统自身预测掩膜）</w:t>
            </w:r>
          </w:p>
        </w:tc>
        <w:tc>
          <w:tcPr>
            <w:tcW w:type="dxa" w:w="4320"/>
          </w:tcPr>
          <w:p>
            <w:pPr>
              <w:jc w:val="center"/>
            </w:pPr>
            <w:r/>
            <w:r>
              <w:rPr>
                <w:rFonts w:eastAsia="宋体"/>
                <w:sz w:val="21"/>
              </w:rPr>
              <w:t>74%</w:t>
            </w:r>
          </w:p>
        </w:tc>
      </w:tr>
    </w:tbl>
    <w:p>
      <w:pPr>
        <w:spacing w:after="40"/>
      </w:pPr>
    </w:p>
    <w:p>
      <w:pPr>
        <w:spacing w:after="200"/>
      </w:pPr>
      <w:r>
        <w:rPr>
          <w:rFonts w:ascii="Times New Roman" w:hAnsi="Times New Roman" w:eastAsia="宋体"/>
          <w:b w:val="0"/>
          <w:i/>
          <w:sz w:val="19"/>
        </w:rPr>
        <w:t>表8 缺陷类型归属方法演进（`scripts/eval_type_head.py`）。</w:t>
      </w:r>
    </w:p>
    <w:p>
      <w:pPr>
        <w:spacing w:after="160"/>
        <w:ind w:firstLine="420"/>
      </w:pPr>
      <w:r>
        <w:rPr>
          <w:rFonts w:ascii="Times New Roman" w:hAnsi="Times New Roman" w:eastAsia="宋体"/>
          <w:b w:val="0"/>
          <w:i w:val="0"/>
          <w:sz w:val="24"/>
        </w:rPr>
        <w:t>端到端74%（表8末行）是使用系统自身预测的分割掩膜、而非人工标注真值掩膜计算的实际部署精度，与依赖真值掩膜的87%离线上界存在差距，属于预期现象。表9给出端到端结果的逐品类细分，并与不依赖视觉语言模型的启发式基线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eastAsia="黑体"/>
                <w:b/>
                <w:sz w:val="21"/>
              </w:rPr>
              <w:t>品类</w:t>
            </w:r>
          </w:p>
        </w:tc>
        <w:tc>
          <w:tcPr>
            <w:tcW w:type="dxa" w:w="2880"/>
          </w:tcPr>
          <w:p>
            <w:pPr>
              <w:jc w:val="center"/>
            </w:pPr>
            <w:r/>
            <w:r>
              <w:rPr>
                <w:rFonts w:eastAsia="黑体"/>
                <w:b/>
                <w:sz w:val="21"/>
              </w:rPr>
              <w:t>本文方法（正确数/总数）</w:t>
            </w:r>
          </w:p>
        </w:tc>
        <w:tc>
          <w:tcPr>
            <w:tcW w:type="dxa" w:w="2880"/>
          </w:tcPr>
          <w:p>
            <w:pPr>
              <w:jc w:val="center"/>
            </w:pPr>
            <w:r/>
            <w:r>
              <w:rPr>
                <w:rFonts w:eastAsia="黑体"/>
                <w:b/>
                <w:sz w:val="21"/>
              </w:rPr>
              <w:t>启发式基线（正确数/总数）</w:t>
            </w:r>
          </w:p>
        </w:tc>
      </w:tr>
      <w:tr>
        <w:tc>
          <w:tcPr>
            <w:tcW w:type="dxa" w:w="2880"/>
          </w:tcPr>
          <w:p>
            <w:pPr>
              <w:jc w:val="center"/>
            </w:pPr>
            <w:r/>
            <w:r>
              <w:rPr>
                <w:rFonts w:eastAsia="宋体"/>
                <w:sz w:val="21"/>
              </w:rPr>
              <w:t>hazelnut（常见外观缺陷）</w:t>
            </w:r>
          </w:p>
        </w:tc>
        <w:tc>
          <w:tcPr>
            <w:tcW w:type="dxa" w:w="2880"/>
          </w:tcPr>
          <w:p>
            <w:pPr>
              <w:jc w:val="center"/>
            </w:pPr>
            <w:r/>
            <w:r>
              <w:rPr>
                <w:rFonts w:eastAsia="宋体"/>
                <w:sz w:val="21"/>
              </w:rPr>
              <w:t>11/11</w:t>
            </w:r>
          </w:p>
        </w:tc>
        <w:tc>
          <w:tcPr>
            <w:tcW w:type="dxa" w:w="2880"/>
          </w:tcPr>
          <w:p>
            <w:pPr>
              <w:jc w:val="center"/>
            </w:pPr>
            <w:r/>
            <w:r>
              <w:rPr>
                <w:rFonts w:eastAsia="宋体"/>
                <w:sz w:val="21"/>
              </w:rPr>
              <w:t>8/11</w:t>
            </w:r>
          </w:p>
        </w:tc>
      </w:tr>
      <w:tr>
        <w:tc>
          <w:tcPr>
            <w:tcW w:type="dxa" w:w="2880"/>
          </w:tcPr>
          <w:p>
            <w:pPr>
              <w:jc w:val="center"/>
            </w:pPr>
            <w:r/>
            <w:r>
              <w:rPr>
                <w:rFonts w:eastAsia="宋体"/>
                <w:sz w:val="21"/>
              </w:rPr>
              <w:t>carpet（色彩变化）</w:t>
            </w:r>
          </w:p>
        </w:tc>
        <w:tc>
          <w:tcPr>
            <w:tcW w:type="dxa" w:w="2880"/>
          </w:tcPr>
          <w:p>
            <w:pPr>
              <w:jc w:val="center"/>
            </w:pPr>
            <w:r/>
            <w:r>
              <w:rPr>
                <w:rFonts w:eastAsia="宋体"/>
                <w:sz w:val="21"/>
              </w:rPr>
              <w:t>12/12</w:t>
            </w:r>
          </w:p>
        </w:tc>
        <w:tc>
          <w:tcPr>
            <w:tcW w:type="dxa" w:w="2880"/>
          </w:tcPr>
          <w:p>
            <w:pPr>
              <w:jc w:val="center"/>
            </w:pPr>
            <w:r/>
            <w:r>
              <w:rPr>
                <w:rFonts w:eastAsia="宋体"/>
                <w:sz w:val="21"/>
              </w:rPr>
              <w:t>4/12</w:t>
            </w:r>
          </w:p>
        </w:tc>
      </w:tr>
      <w:tr>
        <w:tc>
          <w:tcPr>
            <w:tcW w:type="dxa" w:w="2880"/>
          </w:tcPr>
          <w:p>
            <w:pPr>
              <w:jc w:val="center"/>
            </w:pPr>
            <w:r/>
            <w:r>
              <w:rPr>
                <w:rFonts w:eastAsia="宋体"/>
                <w:sz w:val="21"/>
              </w:rPr>
              <w:t>cable（缺件少件）</w:t>
            </w:r>
          </w:p>
        </w:tc>
        <w:tc>
          <w:tcPr>
            <w:tcW w:type="dxa" w:w="2880"/>
          </w:tcPr>
          <w:p>
            <w:pPr>
              <w:jc w:val="center"/>
            </w:pPr>
            <w:r/>
            <w:r>
              <w:rPr>
                <w:rFonts w:eastAsia="宋体"/>
                <w:sz w:val="21"/>
              </w:rPr>
              <w:t>8/12</w:t>
            </w:r>
          </w:p>
        </w:tc>
        <w:tc>
          <w:tcPr>
            <w:tcW w:type="dxa" w:w="2880"/>
          </w:tcPr>
          <w:p>
            <w:pPr>
              <w:jc w:val="center"/>
            </w:pPr>
            <w:r/>
            <w:r>
              <w:rPr>
                <w:rFonts w:eastAsia="宋体"/>
                <w:sz w:val="21"/>
              </w:rPr>
              <w:t>9/12</w:t>
            </w:r>
          </w:p>
        </w:tc>
      </w:tr>
      <w:tr>
        <w:tc>
          <w:tcPr>
            <w:tcW w:type="dxa" w:w="2880"/>
          </w:tcPr>
          <w:p>
            <w:pPr>
              <w:jc w:val="center"/>
            </w:pPr>
            <w:r/>
            <w:r>
              <w:rPr>
                <w:rFonts w:eastAsia="宋体"/>
                <w:sz w:val="21"/>
              </w:rPr>
              <w:t>pill（色彩变化）</w:t>
            </w:r>
          </w:p>
        </w:tc>
        <w:tc>
          <w:tcPr>
            <w:tcW w:type="dxa" w:w="2880"/>
          </w:tcPr>
          <w:p>
            <w:pPr>
              <w:jc w:val="center"/>
            </w:pPr>
            <w:r/>
            <w:r>
              <w:rPr>
                <w:rFonts w:eastAsia="宋体"/>
                <w:sz w:val="21"/>
              </w:rPr>
              <w:t>7/12</w:t>
            </w:r>
          </w:p>
        </w:tc>
        <w:tc>
          <w:tcPr>
            <w:tcW w:type="dxa" w:w="2880"/>
          </w:tcPr>
          <w:p>
            <w:pPr>
              <w:jc w:val="center"/>
            </w:pPr>
            <w:r/>
            <w:r>
              <w:rPr>
                <w:rFonts w:eastAsia="宋体"/>
                <w:sz w:val="21"/>
              </w:rPr>
              <w:t>1/12</w:t>
            </w:r>
          </w:p>
        </w:tc>
      </w:tr>
      <w:tr>
        <w:tc>
          <w:tcPr>
            <w:tcW w:type="dxa" w:w="2880"/>
          </w:tcPr>
          <w:p>
            <w:pPr>
              <w:jc w:val="center"/>
            </w:pPr>
            <w:r/>
            <w:r>
              <w:rPr>
                <w:rFonts w:eastAsia="宋体"/>
                <w:sz w:val="21"/>
              </w:rPr>
              <w:t>metal_nut（色彩变化）</w:t>
            </w:r>
          </w:p>
        </w:tc>
        <w:tc>
          <w:tcPr>
            <w:tcW w:type="dxa" w:w="2880"/>
          </w:tcPr>
          <w:p>
            <w:pPr>
              <w:jc w:val="center"/>
            </w:pPr>
            <w:r/>
            <w:r>
              <w:rPr>
                <w:rFonts w:eastAsia="宋体"/>
                <w:sz w:val="21"/>
              </w:rPr>
              <w:t>5/11</w:t>
            </w:r>
          </w:p>
        </w:tc>
        <w:tc>
          <w:tcPr>
            <w:tcW w:type="dxa" w:w="2880"/>
          </w:tcPr>
          <w:p>
            <w:pPr>
              <w:jc w:val="center"/>
            </w:pPr>
            <w:r/>
            <w:r>
              <w:rPr>
                <w:rFonts w:eastAsia="宋体"/>
                <w:sz w:val="21"/>
              </w:rPr>
              <w:t>0/11</w:t>
            </w:r>
          </w:p>
        </w:tc>
      </w:tr>
      <w:tr>
        <w:tc>
          <w:tcPr>
            <w:tcW w:type="dxa" w:w="2880"/>
          </w:tcPr>
          <w:p>
            <w:pPr>
              <w:jc w:val="center"/>
            </w:pPr>
            <w:r/>
            <w:r>
              <w:rPr>
                <w:rFonts w:eastAsia="宋体"/>
                <w:sz w:val="21"/>
              </w:rPr>
              <w:t>合计</w:t>
            </w:r>
          </w:p>
        </w:tc>
        <w:tc>
          <w:tcPr>
            <w:tcW w:type="dxa" w:w="2880"/>
          </w:tcPr>
          <w:p>
            <w:pPr>
              <w:jc w:val="center"/>
            </w:pPr>
            <w:r/>
            <w:r>
              <w:rPr>
                <w:rFonts w:eastAsia="宋体"/>
                <w:sz w:val="21"/>
              </w:rPr>
              <w:t>43/58 = 74%</w:t>
            </w:r>
          </w:p>
        </w:tc>
        <w:tc>
          <w:tcPr>
            <w:tcW w:type="dxa" w:w="2880"/>
          </w:tcPr>
          <w:p>
            <w:pPr>
              <w:jc w:val="center"/>
            </w:pPr>
            <w:r/>
            <w:r>
              <w:rPr>
                <w:rFonts w:eastAsia="宋体"/>
                <w:sz w:val="21"/>
              </w:rPr>
              <w:t>22/58 = 38%</w:t>
            </w:r>
          </w:p>
        </w:tc>
      </w:tr>
    </w:tbl>
    <w:p>
      <w:pPr>
        <w:spacing w:after="40"/>
      </w:pPr>
    </w:p>
    <w:p>
      <w:pPr>
        <w:spacing w:after="200"/>
      </w:pPr>
      <w:r>
        <w:rPr>
          <w:rFonts w:ascii="Times New Roman" w:hAnsi="Times New Roman" w:eastAsia="宋体"/>
          <w:b w:val="0"/>
          <w:i/>
          <w:sz w:val="19"/>
        </w:rPr>
        <w:t>表9 端到端类型归属逐品类结果。cable品类上启发式基线（9/12）略优于本文方法（8/12），是目前唯一的反例，如实列出。</w:t>
      </w:r>
    </w:p>
    <w:p>
      <w:pPr>
        <w:spacing w:after="160"/>
        <w:ind w:firstLine="420"/>
      </w:pPr>
      <w:r>
        <w:rPr>
          <w:rFonts w:ascii="Times New Roman" w:hAnsi="Times New Roman" w:eastAsia="宋体"/>
          <w:b w:val="0"/>
          <w:i w:val="0"/>
          <w:sz w:val="24"/>
        </w:rPr>
        <w:t>第3.4节所述双图对比设计的收益并非来自提示词调优，而是结构性的：将裁剪在同一坐标的正常参考图与待判图一并提供后，赛题5类中依赖比较判断的缺件类样本的判别正确率由5/12提升到9/12（同一批测试样本上单图与双图两种提示方式的直接对照）——实测中一个真实的缺线样本在仅提供单图时被误判为“色彩变化”，因为模型只能观察到“这块颜色不一样”，无法判断“这里本该有一根线”。本文进一步在真实手机屏幕数据上验证该范式的跨域一致性（不预设数据集标签与赛题5类的映射关系，只观察模型自主给出的映射是否稳定）：划痕类样本100%（20/20）被映射为“常见外观缺陷”，污渍类样本95%（18/19）被映射为“色彩变化”；油污类样本的映射出现分裂（60%色彩变化、40%外观缺陷），这反映的是反光油膜本身在赛题5类边界上的语义模糊（既改变观感又未破坏材料），而非模型的随机误判。</w:t>
      </w:r>
    </w:p>
    <w:p>
      <w:pPr>
        <w:spacing w:after="160"/>
        <w:ind w:firstLine="420"/>
      </w:pPr>
      <w:r>
        <w:rPr>
          <w:rFonts w:ascii="Times New Roman" w:hAnsi="Times New Roman" w:eastAsia="宋体"/>
          <w:b w:val="0"/>
          <w:i w:val="0"/>
          <w:sz w:val="24"/>
        </w:rPr>
        <w:t>该设计满足赛题的推理期实时性与部署约束：视觉语言模型仅在fit期（不计时）对30张缺陷标注图各调用一次，推理期仅执行质心距离计算，不产生任何外部API调用，无网络环境下同样可运行；任一环节（无密钥、无网络、调用超时、响应解析失败）出现异常，系统自动退回启发式基线，检测与定位功能不受影响。</w:t>
      </w:r>
    </w:p>
    <w:p>
      <w:pPr>
        <w:pStyle w:val="Heading2"/>
        <w:spacing w:before="280" w:after="160"/>
      </w:pPr>
      <w:r>
        <w:rPr>
          <w:rFonts w:ascii="Times New Roman" w:hAnsi="Times New Roman" w:eastAsia="黑体"/>
        </w:rPr>
        <w:t>4.7 反馈闭环实验</w:t>
      </w:r>
    </w:p>
    <w:p>
      <w:pPr>
        <w:spacing w:after="160"/>
        <w:ind w:firstLine="420"/>
      </w:pPr>
      <w:r>
        <w:rPr>
          <w:rFonts w:ascii="Times New Roman" w:hAnsi="Times New Roman" w:eastAsia="宋体"/>
          <w:b w:val="0"/>
          <w:i w:val="0"/>
          <w:sz w:val="24"/>
        </w:rPr>
        <w:t>第3.5节所述反馈层的最终设计是六轮端到端留出验证收敛的结果。本节报告验证通过的最终配置的完整数据，并说明中间三轮被数据否决的直觉设计。</w:t>
      </w:r>
    </w:p>
    <w:p>
      <w:pPr>
        <w:spacing w:after="160"/>
        <w:ind w:firstLine="420"/>
      </w:pPr>
      <w:r>
        <w:rPr>
          <w:rFonts w:ascii="Times New Roman" w:hAnsi="Times New Roman" w:eastAsia="宋体"/>
          <w:b w:val="0"/>
          <w:i w:val="0"/>
          <w:sz w:val="24"/>
        </w:rPr>
        <w:t>实验协议（`scripts/verify_feedback.py`）：以cable品类为例，用100张正常图与29张缺陷图完成初始迁移，在留出的测试集（31张缺陷图、58张正常图，均未参与迁移）中找出一张被判定为漏检的图像，模拟操作员提交该图的漏检反馈，比较反馈前后在同一留出集上的召回率、误报率，并对分割网络权重计算摘要指纹以确认参数确实发生了变化。</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eastAsia="黑体"/>
                <w:b/>
                <w:sz w:val="21"/>
              </w:rPr>
              <w:t>项</w:t>
            </w:r>
          </w:p>
        </w:tc>
        <w:tc>
          <w:tcPr>
            <w:tcW w:type="dxa" w:w="2880"/>
          </w:tcPr>
          <w:p>
            <w:pPr>
              <w:jc w:val="center"/>
            </w:pPr>
            <w:r/>
            <w:r>
              <w:rPr>
                <w:rFonts w:eastAsia="黑体"/>
                <w:b/>
                <w:sz w:val="21"/>
              </w:rPr>
              <w:t>反馈前</w:t>
            </w:r>
          </w:p>
        </w:tc>
        <w:tc>
          <w:tcPr>
            <w:tcW w:type="dxa" w:w="2880"/>
          </w:tcPr>
          <w:p>
            <w:pPr>
              <w:jc w:val="center"/>
            </w:pPr>
            <w:r/>
            <w:r>
              <w:rPr>
                <w:rFonts w:eastAsia="黑体"/>
                <w:b/>
                <w:sz w:val="21"/>
              </w:rPr>
              <w:t>反馈后</w:t>
            </w:r>
          </w:p>
        </w:tc>
      </w:tr>
      <w:tr>
        <w:tc>
          <w:tcPr>
            <w:tcW w:type="dxa" w:w="2880"/>
          </w:tcPr>
          <w:p>
            <w:pPr>
              <w:jc w:val="center"/>
            </w:pPr>
            <w:r/>
            <w:r>
              <w:rPr>
                <w:rFonts w:eastAsia="宋体"/>
                <w:sz w:val="21"/>
              </w:rPr>
              <w:t>分割网络权重摘要指纹</w:t>
            </w:r>
          </w:p>
        </w:tc>
        <w:tc>
          <w:tcPr>
            <w:tcW w:type="dxa" w:w="2880"/>
          </w:tcPr>
          <w:p>
            <w:pPr>
              <w:jc w:val="center"/>
            </w:pPr>
            <w:r/>
            <w:r>
              <w:rPr>
                <w:rFonts w:eastAsia="宋体"/>
                <w:sz w:val="21"/>
              </w:rPr>
              <w:t>f9591bf8e3f9</w:t>
            </w:r>
          </w:p>
        </w:tc>
        <w:tc>
          <w:tcPr>
            <w:tcW w:type="dxa" w:w="2880"/>
          </w:tcPr>
          <w:p>
            <w:pPr>
              <w:jc w:val="center"/>
            </w:pPr>
            <w:r/>
            <w:r>
              <w:rPr>
                <w:rFonts w:eastAsia="宋体"/>
                <w:sz w:val="21"/>
              </w:rPr>
              <w:t>35e6f8a832ae（确认已重新训练）</w:t>
            </w:r>
          </w:p>
        </w:tc>
      </w:tr>
      <w:tr>
        <w:tc>
          <w:tcPr>
            <w:tcW w:type="dxa" w:w="2880"/>
          </w:tcPr>
          <w:p>
            <w:pPr>
              <w:jc w:val="center"/>
            </w:pPr>
            <w:r/>
            <w:r>
              <w:rPr>
                <w:rFonts w:eastAsia="宋体"/>
                <w:sz w:val="21"/>
              </w:rPr>
              <w:t>图级判决阈值</w:t>
            </w:r>
          </w:p>
        </w:tc>
        <w:tc>
          <w:tcPr>
            <w:tcW w:type="dxa" w:w="2880"/>
          </w:tcPr>
          <w:p>
            <w:pPr>
              <w:jc w:val="center"/>
            </w:pPr>
            <w:r/>
            <w:r>
              <w:rPr>
                <w:rFonts w:eastAsia="宋体"/>
                <w:sz w:val="21"/>
              </w:rPr>
              <w:t>1.6910</w:t>
            </w:r>
          </w:p>
        </w:tc>
        <w:tc>
          <w:tcPr>
            <w:tcW w:type="dxa" w:w="2880"/>
          </w:tcPr>
          <w:p>
            <w:pPr>
              <w:jc w:val="center"/>
            </w:pPr>
            <w:r/>
            <w:r>
              <w:rPr>
                <w:rFonts w:eastAsia="宋体"/>
                <w:sz w:val="21"/>
              </w:rPr>
              <w:t>1.6910（按设计冻结，见下文）</w:t>
            </w:r>
          </w:p>
        </w:tc>
      </w:tr>
      <w:tr>
        <w:tc>
          <w:tcPr>
            <w:tcW w:type="dxa" w:w="2880"/>
          </w:tcPr>
          <w:p>
            <w:pPr>
              <w:jc w:val="center"/>
            </w:pPr>
            <w:r/>
            <w:r>
              <w:rPr>
                <w:rFonts w:eastAsia="宋体"/>
                <w:sz w:val="21"/>
              </w:rPr>
              <w:t>留出集召回率</w:t>
            </w:r>
          </w:p>
        </w:tc>
        <w:tc>
          <w:tcPr>
            <w:tcW w:type="dxa" w:w="2880"/>
          </w:tcPr>
          <w:p>
            <w:pPr>
              <w:jc w:val="center"/>
            </w:pPr>
            <w:r/>
            <w:r>
              <w:rPr>
                <w:rFonts w:eastAsia="宋体"/>
                <w:sz w:val="21"/>
              </w:rPr>
              <w:t>80.6%</w:t>
            </w:r>
          </w:p>
        </w:tc>
        <w:tc>
          <w:tcPr>
            <w:tcW w:type="dxa" w:w="2880"/>
          </w:tcPr>
          <w:p>
            <w:pPr>
              <w:jc w:val="center"/>
            </w:pPr>
            <w:r/>
            <w:r>
              <w:rPr>
                <w:rFonts w:eastAsia="宋体"/>
                <w:sz w:val="21"/>
              </w:rPr>
              <w:t>80.6%</w:t>
            </w:r>
          </w:p>
        </w:tc>
      </w:tr>
      <w:tr>
        <w:tc>
          <w:tcPr>
            <w:tcW w:type="dxa" w:w="2880"/>
          </w:tcPr>
          <w:p>
            <w:pPr>
              <w:jc w:val="center"/>
            </w:pPr>
            <w:r/>
            <w:r>
              <w:rPr>
                <w:rFonts w:eastAsia="宋体"/>
                <w:sz w:val="21"/>
              </w:rPr>
              <w:t>留出集误报率</w:t>
            </w:r>
          </w:p>
        </w:tc>
        <w:tc>
          <w:tcPr>
            <w:tcW w:type="dxa" w:w="2880"/>
          </w:tcPr>
          <w:p>
            <w:pPr>
              <w:jc w:val="center"/>
            </w:pPr>
            <w:r/>
            <w:r>
              <w:rPr>
                <w:rFonts w:eastAsia="宋体"/>
                <w:sz w:val="21"/>
              </w:rPr>
              <w:t>6.9%</w:t>
            </w:r>
          </w:p>
        </w:tc>
        <w:tc>
          <w:tcPr>
            <w:tcW w:type="dxa" w:w="2880"/>
          </w:tcPr>
          <w:p>
            <w:pPr>
              <w:jc w:val="center"/>
            </w:pPr>
            <w:r/>
            <w:r>
              <w:rPr>
                <w:rFonts w:eastAsia="宋体"/>
                <w:sz w:val="21"/>
              </w:rPr>
              <w:t>10.3%（+3.4个百分点，处于该测量方式约±2张样本的运行间波动带内）</w:t>
            </w:r>
          </w:p>
        </w:tc>
      </w:tr>
      <w:tr>
        <w:tc>
          <w:tcPr>
            <w:tcW w:type="dxa" w:w="2880"/>
          </w:tcPr>
          <w:p>
            <w:pPr>
              <w:jc w:val="center"/>
            </w:pPr>
            <w:r/>
            <w:r>
              <w:rPr>
                <w:rFonts w:eastAsia="宋体"/>
                <w:sz w:val="21"/>
              </w:rPr>
              <w:t>单轮反馈耗时</w:t>
            </w:r>
          </w:p>
        </w:tc>
        <w:tc>
          <w:tcPr>
            <w:tcW w:type="dxa" w:w="2880"/>
          </w:tcPr>
          <w:p>
            <w:pPr>
              <w:jc w:val="center"/>
            </w:pPr>
            <w:r/>
            <w:r>
              <w:rPr>
                <w:rFonts w:eastAsia="宋体"/>
                <w:sz w:val="21"/>
              </w:rPr>
              <w:t>—</w:t>
            </w:r>
          </w:p>
        </w:tc>
        <w:tc>
          <w:tcPr>
            <w:tcW w:type="dxa" w:w="2880"/>
          </w:tcPr>
          <w:p>
            <w:pPr>
              <w:jc w:val="center"/>
            </w:pPr>
            <w:r/>
            <w:r>
              <w:rPr>
                <w:rFonts w:eastAsia="宋体"/>
                <w:sz w:val="21"/>
              </w:rPr>
              <w:t>201秒</w:t>
            </w:r>
          </w:p>
        </w:tc>
      </w:tr>
    </w:tbl>
    <w:p>
      <w:pPr>
        <w:spacing w:after="40"/>
      </w:pPr>
    </w:p>
    <w:p>
      <w:pPr>
        <w:spacing w:after="200"/>
      </w:pPr>
      <w:r>
        <w:rPr>
          <w:rFonts w:ascii="Times New Roman" w:hAnsi="Times New Roman" w:eastAsia="宋体"/>
          <w:b w:val="0"/>
          <w:i/>
          <w:sz w:val="19"/>
        </w:rPr>
        <w:t>表10 反馈闭环端到端留出验证（最终通过配置）。</w:t>
      </w:r>
    </w:p>
    <w:p>
      <w:pPr>
        <w:spacing w:after="160"/>
        <w:ind w:firstLine="420"/>
      </w:pPr>
      <w:r>
        <w:rPr>
          <w:rFonts w:ascii="Times New Roman" w:hAnsi="Times New Roman" w:eastAsia="宋体"/>
          <w:b w:val="0"/>
          <w:i w:val="0"/>
          <w:sz w:val="24"/>
        </w:rPr>
        <w:t>该实验中被反馈的样本本身未被召回，系统对此如实报告了原因：该样本的融合判决分数（1.32）深入正常样本分布内部，将阈值下调至能够捕获该样本的位置需要付出超过10%的迁移集正常样本误报率——触及第3.5节所述硬性上限，阈值维持不变，系统向操作员明确报告“该样本在当前特征下与正常样本不可分，建议补充同类缺陷样本后重新迁移”。本文认为，承认某次反馈客观上无法在不牺牲整体误报率的前提下被满足，优于以损害整条产线判定质量为代价强行满足单次反馈。</w:t>
      </w:r>
    </w:p>
    <w:p>
      <w:pPr>
        <w:spacing w:after="160"/>
        <w:ind w:firstLine="420"/>
      </w:pPr>
      <w:r>
        <w:rPr>
          <w:rFonts w:ascii="Times New Roman" w:hAnsi="Times New Roman" w:eastAsia="宋体"/>
          <w:b w:val="0"/>
          <w:i w:val="0"/>
          <w:sz w:val="24"/>
        </w:rPr>
        <w:t>在得到表10的最终设计之前，三条直觉上合理的设计先后在真实留出数据上被否决：</w:t>
      </w:r>
    </w:p>
    <w:p>
      <w:pPr>
        <w:pStyle w:val="ListNumber"/>
      </w:pPr>
      <w:r>
        <w:rPr>
          <w:sz w:val="24"/>
        </w:rPr>
        <w:t>“无法完全捕获反馈样本时，仍尽量下调阈值”——判负。留出集实测显示，迁移集口径的误报率仅由7%升至10%，但留出集误报率由6.9%骤升至24.1%（+17.2个百分点），召回率未获任何提升。原因是参与阈值标定的迁移集正常样本分布本身偏紧，其误报率估计严重低估了留出集上的真实代价。</w:t>
      </w:r>
    </w:p>
    <w:p>
      <w:pPr>
        <w:pStyle w:val="ListNumber"/>
      </w:pPr>
      <w:r>
        <w:rPr>
          <w:sz w:val="24"/>
        </w:rPr>
        <w:t>“反馈样本并入标定集参与常规阈值重新估计”（即不做特殊处理，视为默认行为）——判负。在约130张样本的标定集中新增1张反馈样本，按平衡准确率选取的最优阈值候选点会在若干数值相近的候选间发生与该样本本身无关的跳变：一次实验中阈值完全不变（1.691→1.691），另一次实验中阈值发生较大跳变（2.006→1.660），留出集误报率上升15.5个百分点仅换来召回率3.2个百分点的提升。这一现象的不可控性是本文最终将阈值更新改为确定性约束（而非统计重估计）的直接原因。</w:t>
      </w:r>
    </w:p>
    <w:p>
      <w:pPr>
        <w:pStyle w:val="ListNumber"/>
      </w:pPr>
      <w:r>
        <w:rPr>
          <w:sz w:val="24"/>
        </w:rPr>
        <w:t>“反馈期照常重新执行延时自适应裁剪标定”（即不做特殊处理）——判负，且是三者中最隐蔽的一例。即便前两项问题均已修复、阈值已完全冻结，留出集误报率仍出现约17个百分点的异常上升。双口径插桩定位到根因：延时自适应裁剪的结构性决策（例如永久移除第二个检测学生网络）具有不可逆性，且其标定顺序位于分数标定之后——反馈触发的分割网络重训练会改变输出掩膜的面积，进而改变归因层的计算量与延时探针读数，可能触发新的裁剪决策，使检测层的分数尺度整体偏移，让此前已冻结的阈值指向错误的位置。修复方式是反馈期完全跳过延时自适应标定，将这类结构性决策限定为仅在初始迁移阶段执行一次。</w:t>
      </w:r>
    </w:p>
    <w:p>
      <w:pPr>
        <w:spacing w:after="80"/>
      </w:pPr>
    </w:p>
    <w:p>
      <w:pPr>
        <w:spacing w:after="160"/>
        <w:ind w:firstLine="420"/>
      </w:pPr>
      <w:r>
        <w:rPr>
          <w:rFonts w:ascii="Times New Roman" w:hAnsi="Times New Roman" w:eastAsia="宋体"/>
          <w:b w:val="0"/>
          <w:i w:val="0"/>
          <w:sz w:val="24"/>
        </w:rPr>
        <w:t>三次否决共同指向同一条教训：反馈路径上任何“顺便重新标定”的环节，都是潜在的隐藏净负通道，可能把操作员的一次真实反馈放大为与之完全不成比例的全局误报上升。最终设计将反馈期允许发生的变化严格限定为两类——分割网络的增量监督重训练，与对判决阈值的确定性方向性约束——此外的一切标定在反馈期内被冻结，仅在下一次完整迁移时统一重新执行。</w:t>
      </w:r>
    </w:p>
    <w:p>
      <w:r>
        <w:br w:type="page"/>
      </w:r>
    </w:p>
    <w:p>
      <w:pPr>
        <w:pStyle w:val="Heading1"/>
        <w:spacing w:before="280" w:after="160"/>
      </w:pPr>
      <w:r>
        <w:rPr>
          <w:rFonts w:ascii="Times New Roman" w:hAnsi="Times New Roman" w:eastAsia="黑体"/>
        </w:rPr>
        <w:t>5 讨论</w:t>
      </w:r>
    </w:p>
    <w:p>
      <w:pPr>
        <w:pStyle w:val="Heading2"/>
        <w:spacing w:before="280" w:after="160"/>
      </w:pPr>
      <w:r>
        <w:rPr>
          <w:rFonts w:ascii="Times New Roman" w:hAnsi="Times New Roman" w:eastAsia="黑体"/>
        </w:rPr>
        <w:t>5.1 新颖性再论证</w:t>
      </w:r>
    </w:p>
    <w:p>
      <w:pPr>
        <w:spacing w:after="160"/>
        <w:ind w:firstLine="420"/>
      </w:pPr>
      <w:r>
        <w:rPr>
          <w:rFonts w:ascii="Times New Roman" w:hAnsi="Times New Roman" w:eastAsia="宋体"/>
          <w:b w:val="0"/>
          <w:i w:val="0"/>
          <w:sz w:val="24"/>
        </w:rPr>
        <w:t>本文的新颖性主张限定在具体的机制设计上，而非笼统宣称架构整体的首创性：检测、定位模块所依赖的EfficientAD、DINOv2、MobileSAM均为已发表的通用视觉方法，本文的工作是针对赛题约束的组合与工程化，这一点在第3.2、3.3节已如实说明。表A所列五项创新点中，真正构成方法设计新颖性、而非单纯工程组合的有以下几处。</w:t>
      </w:r>
    </w:p>
    <w:p>
      <w:pPr>
        <w:spacing w:after="160"/>
        <w:ind w:firstLine="420"/>
      </w:pPr>
      <w:r>
        <w:rPr>
          <w:rFonts w:ascii="Times New Roman" w:hAnsi="Times New Roman" w:eastAsia="宋体"/>
          <w:b w:val="0"/>
          <w:i w:val="0"/>
          <w:sz w:val="24"/>
        </w:rPr>
        <w:t>双图对比归因范式（表A①）将比较性缺陷类型判断的语义负担从单图特征工程转移到视觉语言模型的跨图推理能力上，第4.6节的直接对照实验（同一批测试样本，仅改变提示中是否包含正常参考图）表明这一转移带来了缺件类样本判别正确率从5/12到9/12的结构性提升，而非提示词微调式的边际改善——这一区分很关键：若双图设计仅带来边际提升，说明模型本身已具备判别能力、提示词只是把它引导出来；而5/12到9/12的跳变，加上单图模式下模型明确报告“看不出参照物”的失败模式，说明这是任务表征方式的结构性改变，而非对同一能力的更优提取方式。</w:t>
      </w:r>
    </w:p>
    <w:p>
      <w:pPr>
        <w:spacing w:after="160"/>
        <w:ind w:firstLine="420"/>
      </w:pPr>
      <w:r>
        <w:rPr>
          <w:rFonts w:ascii="Times New Roman" w:hAnsi="Times New Roman" w:eastAsia="宋体"/>
          <w:b w:val="0"/>
          <w:i w:val="0"/>
          <w:sz w:val="24"/>
        </w:rPr>
        <w:t>反馈闭环的确定性硬约束设计（表A④）针对的是一个此前未被充分讨论的具体失效模式——统计标定集重新估计对单样本反馈的响应可能是不可控的（阈值在近似并列的候选点间跳变，跳变幅度与该样本本身的性质无关）。第4.7节的六轮端到端留出验证完整刻画了该失效模式的三种具体表现形式（尽力而为式下调、无约束重新投票、反馈期重跑延时标定的连锁污染），并给出了消除它的具体机制。这一设计的新颖性不在于“加入约束”这一想法本身，而在于通过系统性的端到端实证排除了三种更直觉化的替代方案，说明约束的具体形式（哪些量该冻结、哪些量该开放、上限如何设定）是经过验证而非预先设计的。</w:t>
      </w:r>
    </w:p>
    <w:p>
      <w:pPr>
        <w:spacing w:after="160"/>
        <w:ind w:firstLine="420"/>
      </w:pPr>
      <w:r>
        <w:rPr>
          <w:rFonts w:ascii="Times New Roman" w:hAnsi="Times New Roman" w:eastAsia="宋体"/>
          <w:b w:val="0"/>
          <w:i w:val="0"/>
          <w:sz w:val="24"/>
        </w:rPr>
        <w:t>正交双判据受控融合检测门（表A③）的新颖性在于融合方式的选择本身经过了实证淘汰：常见的检测器集成方式是加权平均或学习式融合权重，本文选择逐图取最大值这一更简单的方式，原因是待融合的两个判据分别在不同品类上系统性漏判（而非均匀分布的随机噪声）——取最大值意味着任意一路判为异常即采信，这一设计选择在移除DINO判据后的对照实验（受影响品类图级准确率0.811→0.171）中得到了直接的必要性证据，而非默认选项。</w:t>
      </w:r>
    </w:p>
    <w:p>
      <w:pPr>
        <w:spacing w:after="160"/>
        <w:ind w:firstLine="420"/>
      </w:pPr>
      <w:r>
        <w:rPr>
          <w:rFonts w:ascii="Times New Roman" w:hAnsi="Times New Roman" w:eastAsia="宋体"/>
          <w:b w:val="0"/>
          <w:i w:val="0"/>
          <w:sz w:val="24"/>
        </w:rPr>
        <w:t>面向未知部署域的量化零回退验证方法论（表A⑤）的新颖性在于其判据设计直接回应了赛题特有的约束——测试品类对参赛队伍完全保密。常规的A/B测试或消融实验通常关注平均收益是否为正，而本文的准入判据额外要求“表现最差的品类跌幅不超过0.01”，这一条件在测试品类已知、可针对性验证的场景下并非必需，但在本赛题“提交后才知道测试什么产品”的约束下，是防止某个候选改动恰好命中未知薄弱品类、造成不可预见的灾难性个例的直接工程回应，而非通用的最佳实践套用。</w:t>
      </w:r>
    </w:p>
    <w:p>
      <w:pPr>
        <w:pStyle w:val="Heading2"/>
        <w:spacing w:before="280" w:after="160"/>
      </w:pPr>
      <w:r>
        <w:rPr>
          <w:rFonts w:ascii="Times New Roman" w:hAnsi="Times New Roman" w:eastAsia="黑体"/>
        </w:rPr>
        <w:t>5.2 合理性论证：验证方法论的价值</w:t>
      </w:r>
    </w:p>
    <w:p>
      <w:pPr>
        <w:spacing w:after="160"/>
        <w:ind w:firstLine="420"/>
      </w:pPr>
      <w:r>
        <w:rPr>
          <w:rFonts w:ascii="Times New Roman" w:hAnsi="Times New Roman" w:eastAsia="宋体"/>
          <w:b w:val="0"/>
          <w:i w:val="0"/>
          <w:sz w:val="24"/>
        </w:rPr>
        <w:t>本文将第3.6节所述的零回退验证方法论本身视为一项需要向评审说明的设计选择，而不仅是背景性的工程流程。其合理性来自两方面的实证支持：第一，该方法论在开发过程中确实拦截了会造成真实损害的候选改动——第4.4节报告的GCAD风格分支若未经过含正常图的完整成绩单复测，会以“定位精度提升”的表面结论留在生产配置中，而实际图级判定准确率已骤降近20个百分点；第二，该方法论并非事后补救，其四项准入条件（中位数增益、均值方向、过半品类为正、最差品类跌幅上限）在赛题隐藏测试域完全未知的约束下具有直接的必要性——参赛队伍无法预先判断某个候选改动是否恰好命中评审现场品类的薄弱环节，因此“最差品类不能跌破某个界限”这一条件是应对未知域部署风险的直接工程回应，而非任意选定的统计门槛。</w:t>
      </w:r>
    </w:p>
    <w:p>
      <w:pPr>
        <w:pStyle w:val="Heading2"/>
        <w:spacing w:before="280" w:after="160"/>
      </w:pPr>
      <w:r>
        <w:rPr>
          <w:rFonts w:ascii="Times New Roman" w:hAnsi="Times New Roman" w:eastAsia="黑体"/>
        </w:rPr>
        <w:t>5.3 局限性</w:t>
      </w:r>
    </w:p>
    <w:p>
      <w:pPr>
        <w:spacing w:after="160"/>
        <w:ind w:firstLine="420"/>
      </w:pPr>
      <w:r>
        <w:rPr>
          <w:rFonts w:ascii="Times New Roman" w:hAnsi="Times New Roman" w:eastAsia="宋体"/>
          <w:b w:val="0"/>
          <w:i w:val="0"/>
          <w:sz w:val="24"/>
        </w:rPr>
        <w:t>本文如实报告以下边界，其中多数在第4节的实验结果中已有体现：</w:t>
      </w:r>
    </w:p>
    <w:p>
      <w:pPr>
        <w:pStyle w:val="ListNumber"/>
      </w:pPr>
      <w:r>
        <w:rPr>
          <w:sz w:val="24"/>
        </w:rPr>
        <w:t>逻辑异常类缺陷（对象缺失、位置或数量错误）是当前系统定位精度最弱的类别（含漏检IoU 0.192，表2以外数据），且该类缺陷与MVTec LOCO官方定义的“计数/位置/搭配错误”是否与赛题原文“逻辑错误（如顺序错误）”完全同义尚未得到出题方确认，本文不宣称该类已被充分覆盖。</w:t>
      </w:r>
    </w:p>
    <w:p>
      <w:pPr>
        <w:pStyle w:val="ListNumber"/>
      </w:pPr>
      <w:r>
        <w:rPr>
          <w:sz w:val="24"/>
        </w:rPr>
        <w:t>缺陷类型归属头（第3.4节）在结构上无法输出迁移阶段30张缺陷标注图中未出现过的类型标签——这是质心蒸馏机制的必然结果，而非误判。若评审现场提供的30张缺陷图未覆盖赛题全部5类，缺失的类别在类型归属任务上必然得分为零，本文已尝试过一种规则特征兜底的补救方案，但该方案在真实数据上验证为净负（合计正确率由48.2%降至19.4%），已回退。</w:t>
      </w:r>
    </w:p>
    <w:p>
      <w:pPr>
        <w:pStyle w:val="ListNumber"/>
      </w:pPr>
      <w:r>
        <w:rPr>
          <w:sz w:val="24"/>
        </w:rPr>
        <w:t>在算力受限设备（CPU-only）上的推理时延未能达到2秒以内的挑战性目标（实测约4.4秒，瓶颈集中在EfficientAD教师网络的整图卷积，占比约92%）。本文将此视为超出必达门槛的挑战性目标，在GPU主线已满足200毫秒硬约束的前提下未投入更多工程量攻克，如实标注为未达成而非回避不提。</w:t>
      </w:r>
    </w:p>
    <w:p>
      <w:pPr>
        <w:spacing w:after="80"/>
      </w:pPr>
    </w:p>
    <w:p>
      <w:pPr>
        <w:pStyle w:val="Heading2"/>
        <w:spacing w:before="280" w:after="160"/>
      </w:pPr>
      <w:r>
        <w:rPr>
          <w:rFonts w:ascii="Times New Roman" w:hAnsi="Times New Roman" w:eastAsia="黑体"/>
        </w:rPr>
        <w:t>5.4 与赛题要求的对应关系</w:t>
      </w:r>
    </w:p>
    <w:p>
      <w:pPr>
        <w:spacing w:after="160"/>
        <w:ind w:firstLine="420"/>
      </w:pPr>
      <w:r>
        <w:rPr>
          <w:rFonts w:ascii="Times New Roman" w:hAnsi="Times New Roman" w:eastAsia="宋体"/>
          <w:b w:val="0"/>
          <w:i w:val="0"/>
          <w:sz w:val="24"/>
        </w:rPr>
        <w:t>赛题原文对“可自学习”与“可解释”的要求，在本文的设计中分别对应第3.5节的反馈闭环与一个独立于推理主路径的检测逻辑回溯接口：该接口对任一输入图像返回完整的判定链路，包括检测层两条判据各自的原始分数与标准化分数、最终判决由哪一条判据主导、灰区补检是否触发及其依据、归因层各候选类型的竞争过程、以及定位管线依次生效的模块列表。该接口位于冷路径，不参与第1.1节所述的200毫秒计时预算，其存在使操作员在提交反馈前能够核查系统为何做出特定判决，而不仅是在反馈后被动观察结果变化。</w:t>
      </w:r>
    </w:p>
    <w:p>
      <w:r>
        <w:br w:type="page"/>
      </w:r>
    </w:p>
    <w:p>
      <w:pPr>
        <w:pStyle w:val="Heading1"/>
        <w:spacing w:before="280" w:after="160"/>
      </w:pPr>
      <w:r>
        <w:rPr>
          <w:rFonts w:ascii="Times New Roman" w:hAnsi="Times New Roman" w:eastAsia="黑体"/>
        </w:rPr>
        <w:t>6 结论</w:t>
      </w:r>
    </w:p>
    <w:p>
      <w:pPr>
        <w:spacing w:after="160"/>
        <w:ind w:firstLine="420"/>
      </w:pPr>
      <w:r>
        <w:rPr>
          <w:rFonts w:ascii="Times New Roman" w:hAnsi="Times New Roman" w:eastAsia="宋体"/>
          <w:b w:val="0"/>
          <w:i w:val="0"/>
          <w:sz w:val="24"/>
        </w:rPr>
        <w:t>本文针对少样本工业外观检测赛题的三条核心约束——跨域迁移、非对称计时、硬延时预算——提出了一套检测—定位—归因—反馈四阶段级联系统。其中，双图对比归因范式针对性地解决了缺陷类型归属任务中比较性判断的结构性盲区，使端到端类型归属准确率由启发式基线的38%提升至74%；反馈闭环的确定性硬约束机制通过六轮端到端留出验证，排除了统计标定集重新估计在单样本反馈下可能引发的不可控判决扰动。在5品类混合、单次迁移、三种子重复的赛题协议下，图级判定准确率为0.887±0.023；在与赛题隐藏测试域最接近的真实手机屏幕数据上，框命中率达到0.697±0.073，是本文全部实验中的最高读数；在赛题真实2500×2500输入尺寸下，单图时延中位数为110毫秒，且经降频实验证实该时延在此分辨率下不受GPU计算吞吐瓶颈约束。</w:t>
      </w:r>
    </w:p>
    <w:p>
      <w:pPr>
        <w:spacing w:after="160"/>
        <w:ind w:firstLine="420"/>
      </w:pPr>
      <w:r>
        <w:rPr>
          <w:rFonts w:ascii="Times New Roman" w:hAnsi="Times New Roman" w:eastAsia="宋体"/>
          <w:b w:val="0"/>
          <w:i w:val="0"/>
          <w:sz w:val="24"/>
        </w:rPr>
        <w:t>本文同时将零回退验证方法论——为候选改动设定基于真实留出数据的统一准入判据、并如实记录全部被否决的候选及其失效原因——作为一项可复用的工程实践加以报告。这一方法论在开发过程中确实拦截了若干仅凭表面正向指标就会被接受的候选改动，本文认为其价值不亚于任何单一的性能数字，在赛题隐藏测试域完全未知、任何看似正向的改动都可能命中未知薄弱环节的场景下，这一点具有直接的现实意义。当前系统在逻辑异常类缺陷、未覆盖类型的表达能力、以及算力受限设备部署三个方面仍存在明确边界，本文如实予以报告，作为后续改进的具体方向。</w:t>
      </w:r>
    </w:p>
    <w:p>
      <w:r>
        <w:br w:type="page"/>
      </w:r>
    </w:p>
    <w:p>
      <w:pPr>
        <w:pStyle w:val="Heading1"/>
        <w:spacing w:before="280" w:after="160"/>
      </w:pPr>
      <w:r>
        <w:rPr>
          <w:rFonts w:ascii="Times New Roman" w:hAnsi="Times New Roman" w:eastAsia="黑体"/>
        </w:rPr>
        <w:t>参考文献</w:t>
      </w:r>
    </w:p>
    <w:p>
      <w:pPr>
        <w:spacing w:after="80"/>
        <w:ind w:left="420" w:hanging="420"/>
      </w:pPr>
      <w:r>
        <w:rPr>
          <w:rFonts w:eastAsia="宋体"/>
          <w:sz w:val="21"/>
        </w:rPr>
        <w:t>[1] Roth K, Pemula L, Zepeda J, Scholkopf B, Brox T, Gehler P. Towards Total Recall in Industrial Anomaly Detection. In: Proceedings of the IEEE/CVF Conference on Computer Vision and Pattern Recognition (CVPR), 2022. arXiv:2106.08265.</w:t>
      </w:r>
    </w:p>
    <w:p>
      <w:pPr>
        <w:spacing w:after="80"/>
        <w:ind w:left="420" w:hanging="420"/>
      </w:pPr>
      <w:r>
        <w:rPr>
          <w:rFonts w:eastAsia="宋体"/>
          <w:sz w:val="21"/>
        </w:rPr>
        <w:t>[2] Batzner K, Heckler L, König R. EfficientAD: Accurate Visual Anomaly Detection at Millisecond-Level Latencies. In: Proceedings of the IEEE/CVF Winter Conference on Applications of Computer Vision (WACV), 2024, pp. 127–137. arXiv:2303.14535.</w:t>
      </w:r>
    </w:p>
    <w:p>
      <w:pPr>
        <w:spacing w:after="80"/>
        <w:ind w:left="420" w:hanging="420"/>
      </w:pPr>
      <w:r>
        <w:rPr>
          <w:rFonts w:eastAsia="宋体"/>
          <w:sz w:val="21"/>
        </w:rPr>
        <w:t>[3] Oquab M, Darcet T, Moutakanni T, et al. DINOv2: Learning Robust Visual Features without Supervision. arXiv:2304.07193, 2023.</w:t>
      </w:r>
    </w:p>
    <w:p>
      <w:pPr>
        <w:spacing w:after="80"/>
        <w:ind w:left="420" w:hanging="420"/>
      </w:pPr>
      <w:r>
        <w:rPr>
          <w:rFonts w:eastAsia="宋体"/>
          <w:sz w:val="21"/>
        </w:rPr>
        <w:t>[4] Bergmann P, Fauser M, Sattlegger D, Steger C. MVTec AD — A Comprehensive Real-World Dataset for Unsupervised Anomaly Detection. In: Proceedings of the IEEE/CVF Conference on Computer Vision and Pattern Recognition (CVPR), 2019.</w:t>
      </w:r>
    </w:p>
    <w:p>
      <w:pPr>
        <w:spacing w:after="80"/>
        <w:ind w:left="420" w:hanging="420"/>
      </w:pPr>
      <w:r>
        <w:rPr>
          <w:rFonts w:eastAsia="宋体"/>
          <w:sz w:val="21"/>
        </w:rPr>
        <w:t>[5] Zhang C, Han D, Qiao Y, Kim J U, Bae S H, Lee S, Hong C S. Faster Segment Anything: Towards Lightweight SAM for Mobile Applications. arXiv:2306.14289, 2023.</w:t>
      </w:r>
    </w:p>
    <w:p>
      <w:pPr>
        <w:spacing w:after="80"/>
        <w:ind w:left="420" w:hanging="420"/>
      </w:pPr>
      <w:r>
        <w:rPr>
          <w:rFonts w:eastAsia="宋体"/>
          <w:sz w:val="21"/>
        </w:rPr>
        <w:t>[6] Bergmann P, Batzner K, Fauser M, Sattlegger D, Steger C. Beyond Dents and Scratches: Logical Constraints in Unsupervised Anomaly Detection and Localization. International Journal of Computer Vision (IJCV), 2022.</w:t>
      </w:r>
    </w:p>
    <w:p>
      <w:pPr>
        <w:spacing w:after="80"/>
        <w:ind w:left="420" w:hanging="420"/>
      </w:pPr>
      <w:r>
        <w:rPr>
          <w:rFonts w:eastAsia="宋体"/>
          <w:sz w:val="21"/>
        </w:rPr>
        <w:t>[7] Wang C, Zhu W, Gao B, Gan Z, Zhang J, Gu Z, Qian S, Chen M, Ma L. Real-IAD: A Real-World Multi-View Dataset for Benchmarking Versatile Industrial Anomaly Detection. In: Proceedings of the IEEE/CVF Conference on Computer Vision and Pattern Recognition (CVPR), 2024. arXiv:2403.12580.</w:t>
      </w:r>
    </w:p>
    <w:p>
      <w:pPr>
        <w:spacing w:after="80"/>
        <w:ind w:left="420" w:hanging="420"/>
      </w:pPr>
      <w:r>
        <w:rPr>
          <w:rFonts w:eastAsia="宋体"/>
          <w:sz w:val="21"/>
        </w:rPr>
        <w:t>[8] Bai J, Bai S, Yang S, Wang S, Tan S, Wang P, Lin J, Zhou C, Zhou J. Qwen-VL: A Versatile Vision-Language Model for Understanding, Localization, Text Reading, and Beyond. arXiv:2308.12966, 2023.</w:t>
      </w:r>
    </w:p>
    <w:p>
      <w:pPr>
        <w:spacing w:after="80"/>
        <w:ind w:left="420" w:hanging="420"/>
      </w:pPr>
      <w:r>
        <w:rPr>
          <w:rFonts w:eastAsia="宋体"/>
          <w:sz w:val="21"/>
        </w:rPr>
        <w:t>[9] Zhu J, Ding C, Tian Y, Pang G. Anomaly Heterogeneity Learning for Open-set Supervised Anomaly Detection. In: Proceedings of the IEEE/CVF Conference on Computer Vision and Pattern Recognition (CVPR), 2024, pp. 17616–17626. arXiv:2310.12790.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