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Azure + GitHub Deployment Guide</w:t>
      </w:r>
    </w:p>
    <w:p>
      <w:pPr>
        <w:pStyle w:val="Subtitle"/>
      </w:pPr>
      <w:r>
        <w:t xml:space="preserve">Angular frontend | .NET API | Azure SQL | Blob Storage</w:t>
      </w:r>
    </w:p>
    <w:p>
      <w:pPr>
        <w:shd w:fill="FFF2CC"/>
        <w:spacing w:before="100" w:after="120"/>
      </w:pPr>
      <w:r>
        <w:rPr>
          <w:b/>
        </w:rPr>
        <w:t xml:space="preserve">IMPORTANT: This deployment is public and has no sign-in. Anyone with the site URL can list, upload, and download files. Use only demo data; do not upload private health records until authentication and authorization are added.</w:t>
      </w:r>
    </w:p>
    <w:p>
      <w:pPr>
        <w:pStyle w:val="Heading1"/>
      </w:pPr>
      <w:r>
        <w:t xml:space="preserve">What this deployment creates</w:t>
      </w:r>
    </w:p>
    <w:p>
      <w:r>
        <w:t xml:space="preserve">Azure Static Web Apps hosts Angular. Linux App Service hosts the .NET 10 API. Azure SQL stores file metadata; a private Blob Storage container stores new file contents. The API uses managed identity instead of a committed password or storage key.</w:t>
      </w:r>
    </w:p>
    <w:p>
      <w:r>
        <w:t xml:space="preserve">Azure App Service Basic and Azure SQL Basic incur charges. The deployment creates an empty database; it does not copy local SQL data.</w:t>
      </w:r>
    </w:p>
    <w:p>
      <w:pPr>
        <w:pStyle w:val="Heading1"/>
      </w:pPr>
      <w:r>
        <w:t xml:space="preserve">1. Prepare and push the project to GitHub</w:t>
      </w:r>
    </w:p>
    <w:p>
      <w:r>
        <w:t xml:space="preserve">Create an empty GitHub repository. In PowerShell, from C:\file-library, run these commands:</w:t>
      </w:r>
    </w:p>
    <w:p>
      <w:pPr>
        <w:pStyle w:val="CodeBlock"/>
      </w:pPr>
      <w:r>
        <w:t xml:space="preserve">cd C:\file-library</w:t>
      </w:r>
    </w:p>
    <w:p>
      <w:pPr>
        <w:pStyle w:val="CodeBlock"/>
      </w:pPr>
      <w:r>
        <w:t xml:space="preserve">git init</w:t>
      </w:r>
    </w:p>
    <w:p>
      <w:pPr>
        <w:pStyle w:val="CodeBlock"/>
      </w:pPr>
      <w:r>
        <w:t xml:space="preserve">git branch -M main</w:t>
      </w:r>
    </w:p>
    <w:p>
      <w:pPr>
        <w:pStyle w:val="CodeBlock"/>
      </w:pPr>
      <w:r>
        <w:t xml:space="preserve">git remote add origin https://github.com/OWNER/REPOSITORY.git</w:t>
      </w:r>
    </w:p>
    <w:p>
      <w:pPr>
        <w:pStyle w:val="CodeBlock"/>
      </w:pPr>
      <w:r>
        <w:t xml:space="preserve">git add .</w:t>
      </w:r>
    </w:p>
    <w:p>
      <w:pPr>
        <w:pStyle w:val="CodeBlock"/>
      </w:pPr>
      <w:r>
        <w:t xml:space="preserve">git status</w:t>
      </w:r>
    </w:p>
    <w:p>
      <w:r>
        <w:t xml:space="preserve">Review staged files. Do not stage passwords, secrets, or local IDE files. Then commit and push:</w:t>
      </w:r>
    </w:p>
    <w:p>
      <w:pPr>
        <w:pStyle w:val="CodeBlock"/>
      </w:pPr>
      <w:r>
        <w:t xml:space="preserve">git commit -m "Prepare Azure deployment"</w:t>
      </w:r>
    </w:p>
    <w:p>
      <w:pPr>
        <w:pStyle w:val="CodeBlock"/>
      </w:pPr>
      <w:r>
        <w:t xml:space="preserve">git push -u origin main</w:t>
      </w:r>
    </w:p>
    <w:p>
      <w:r>
        <w:t xml:space="preserve">Confirm the repository contains .github/workflows/deploy-azure.yml, infra/main.bicep, backend, frontend, and checks.</w:t>
      </w:r>
    </w:p>
    <w:p>
      <w:pPr>
        <w:pStyle w:val="Heading1"/>
      </w:pPr>
      <w:r>
        <w:t xml:space="preserve">2. Create an Azure resource group</w:t>
      </w:r>
    </w:p>
    <w:p>
      <w:r>
        <w:t xml:space="preserve">In portal.azure.com, search Resource groups and select Create. Choose a subscription, a name such as file-library-rg, and a region such as East US 2. The deployment identity needs permission to create resources and role assignments in this group.</w:t>
      </w:r>
    </w:p>
    <w:p>
      <w:pPr>
        <w:pStyle w:val="Heading1"/>
      </w:pPr>
      <w:r>
        <w:t xml:space="preserve">3. Configure GitHub Actions passwordless Azure login (OIDC)</w:t>
      </w:r>
    </w:p>
    <w:p>
      <w:r>
        <w:t xml:space="preserve">In Azure Portal, open Microsoft Entra ID &gt; App registrations &gt; New registration. Create an app and note its Application (client) ID and Directory (tenant) ID.</w:t>
      </w:r>
    </w:p>
    <w:p>
      <w:r>
        <w:t xml:space="preserve">In the app registration, open Certificates &amp; secrets &gt; Federated credentials &gt; Add credential &gt; GitHub Actions deploying Azure. Select the GitHub owner, repository, and main branch, then save. This allows GitHub Actions to sign in without a client secret.</w:t>
      </w:r>
    </w:p>
    <w:p>
      <w:r>
        <w:t xml:space="preserve">In the resource group, open Access control (IAM) &gt; Add role assignment. Grant the app service principal Contributor and Role Based Access Control Administrator scoped to the resource group. These roles deploy resources and assign the API identity access to Blob Storage.</w:t>
      </w:r>
    </w:p>
    <w:p>
      <w:pPr>
        <w:pStyle w:val="Heading1"/>
      </w:pPr>
      <w:r>
        <w:t xml:space="preserve">4. Add GitHub repository Actions variables</w:t>
      </w:r>
    </w:p>
    <w:p>
      <w:r>
        <w:t xml:space="preserve">On GitHub, open repository &gt; Settings &gt; Secrets and variables &gt; Actions &gt; Variables &gt; New repository variable. Add all variables in the table below. These are configuration values, not passwords.</w:t>
      </w:r>
    </w:p>
    <w:tbl>
      <w:tblPr>
        <w:tblW w:w="0" w:type="auto"/>
        <w:tblBorders>
          <w:top w:val="single" w:sz="4" w:color="D6DFDA"/>
          <w:left w:val="single" w:sz="4" w:color="D6DFDA"/>
          <w:bottom w:val="single" w:sz="4" w:color="D6DFDA"/>
          <w:right w:val="single" w:sz="4" w:color="D6DFDA"/>
          <w:insideH w:val="single" w:sz="4" w:color="D6DFDA"/>
          <w:insideV w:val="single" w:sz="4" w:color="D6DFDA"/>
        </w:tblBorders>
      </w:tblPr>
      <w:tblGrid>
        <w:gridCol w:w="3000"/>
        <w:gridCol w:w="6000"/>
      </w:tblGrid>
      <w:tr>
        <w:tc>
          <w:tcPr>
            <w:tcW w:w="3000" w:type="dxa"/>
            <w:shd w:fill="2F5D50"/>
          </w:tcPr>
          <w:p>
            <w:pPr>
              <w:spacing w:before="40" w:after="40"/>
            </w:pPr>
            <w:r>
              <w:rPr>
                <w:b/>
                <w:color w:val="FFFFFF"/>
              </w:rPr>
              <w:t xml:space="preserve">Variable</w:t>
            </w:r>
          </w:p>
        </w:tc>
        <w:tc>
          <w:tcPr>
            <w:tcW w:w="3000" w:type="dxa"/>
            <w:shd w:fill="2F5D50"/>
          </w:tcPr>
          <w:p>
            <w:pPr>
              <w:spacing w:before="40" w:after="40"/>
            </w:pPr>
            <w:r>
              <w:rPr>
                <w:b/>
                <w:color w:val="FFFFFF"/>
              </w:rPr>
              <w:t xml:space="preserve">Value to enter</w:t>
            </w:r>
          </w:p>
        </w:tc>
      </w:tr>
      <w:tr>
        <w:tc>
          <w:tcPr>
            <w:tcW w:w="3000" w:type="dxa"/>
            <w:shd w:fill="F3F6F4"/>
          </w:tcPr>
          <w:p>
            <w:pPr>
              <w:spacing w:before="40" w:after="40"/>
            </w:pPr>
            <w:r>
              <w:t xml:space="preserve">AZURE_CLIENT_ID</w:t>
            </w:r>
          </w:p>
        </w:tc>
        <w:tc>
          <w:tcPr>
            <w:tcW w:w="3000" w:type="dxa"/>
            <w:shd w:fill="F3F6F4"/>
          </w:tcPr>
          <w:p>
            <w:pPr>
              <w:spacing w:before="40" w:after="40"/>
            </w:pPr>
            <w:r>
              <w:t xml:space="preserve">Application (client) ID from the app registration</w:t>
            </w:r>
          </w:p>
        </w:tc>
      </w:tr>
      <w:tr>
        <w:tc>
          <w:tcPr>
            <w:tcW w:w="3000" w:type="dxa"/>
            <w:shd w:fill="F3F6F4"/>
          </w:tcPr>
          <w:p>
            <w:pPr>
              <w:spacing w:before="40" w:after="40"/>
            </w:pPr>
            <w:r>
              <w:t xml:space="preserve">AZURE_TENANT_ID</w:t>
            </w:r>
          </w:p>
        </w:tc>
        <w:tc>
          <w:tcPr>
            <w:tcW w:w="3000" w:type="dxa"/>
            <w:shd w:fill="F3F6F4"/>
          </w:tcPr>
          <w:p>
            <w:pPr>
              <w:spacing w:before="40" w:after="40"/>
            </w:pPr>
            <w:r>
              <w:t xml:space="preserve">Directory (tenant) ID</w:t>
            </w:r>
          </w:p>
        </w:tc>
      </w:tr>
      <w:tr>
        <w:tc>
          <w:tcPr>
            <w:tcW w:w="3000" w:type="dxa"/>
            <w:shd w:fill="F3F6F4"/>
          </w:tcPr>
          <w:p>
            <w:pPr>
              <w:spacing w:before="40" w:after="40"/>
            </w:pPr>
            <w:r>
              <w:t xml:space="preserve">AZURE_SUBSCRIPTION_ID</w:t>
            </w:r>
          </w:p>
        </w:tc>
        <w:tc>
          <w:tcPr>
            <w:tcW w:w="3000" w:type="dxa"/>
            <w:shd w:fill="F3F6F4"/>
          </w:tcPr>
          <w:p>
            <w:pPr>
              <w:spacing w:before="40" w:after="40"/>
            </w:pPr>
            <w:r>
              <w:t xml:space="preserve">Subscription ID from Azure Portal &gt; Subscriptions</w:t>
            </w:r>
          </w:p>
        </w:tc>
      </w:tr>
      <w:tr>
        <w:tc>
          <w:tcPr>
            <w:tcW w:w="3000" w:type="dxa"/>
            <w:shd w:fill="F3F6F4"/>
          </w:tcPr>
          <w:p>
            <w:pPr>
              <w:spacing w:before="40" w:after="40"/>
            </w:pPr>
            <w:r>
              <w:t xml:space="preserve">AZURE_RESOURCE_GROUP</w:t>
            </w:r>
          </w:p>
        </w:tc>
        <w:tc>
          <w:tcPr>
            <w:tcW w:w="3000" w:type="dxa"/>
            <w:shd w:fill="F3F6F4"/>
          </w:tcPr>
          <w:p>
            <w:pPr>
              <w:spacing w:before="40" w:after="40"/>
            </w:pPr>
            <w:r>
              <w:t xml:space="preserve">Resource group name from step 2</w:t>
            </w:r>
          </w:p>
        </w:tc>
      </w:tr>
      <w:tr>
        <w:tc>
          <w:tcPr>
            <w:tcW w:w="3000" w:type="dxa"/>
            <w:shd w:fill="F3F6F4"/>
          </w:tcPr>
          <w:p>
            <w:pPr>
              <w:spacing w:before="40" w:after="40"/>
            </w:pPr>
            <w:r>
              <w:t xml:space="preserve">AZURE_LOCATION</w:t>
            </w:r>
          </w:p>
        </w:tc>
        <w:tc>
          <w:tcPr>
            <w:tcW w:w="3000" w:type="dxa"/>
            <w:shd w:fill="F3F6F4"/>
          </w:tcPr>
          <w:p>
            <w:pPr>
              <w:spacing w:before="40" w:after="40"/>
            </w:pPr>
            <w:r>
              <w:t xml:space="preserve">Azure region name, for example eastus2</w:t>
            </w:r>
          </w:p>
        </w:tc>
      </w:tr>
      <w:tr>
        <w:tc>
          <w:tcPr>
            <w:tcW w:w="3000" w:type="dxa"/>
            <w:shd w:fill="F3F6F4"/>
          </w:tcPr>
          <w:p>
            <w:pPr>
              <w:spacing w:before="40" w:after="40"/>
            </w:pPr>
            <w:r>
              <w:t xml:space="preserve">AZURE_NAME_PREFIX</w:t>
            </w:r>
          </w:p>
        </w:tc>
        <w:tc>
          <w:tcPr>
            <w:tcW w:w="3000" w:type="dxa"/>
            <w:shd w:fill="F3F6F4"/>
          </w:tcPr>
          <w:p>
            <w:pPr>
              <w:spacing w:before="40" w:after="40"/>
            </w:pPr>
            <w:r>
              <w:t xml:space="preserve">Unique lowercase prefix, 3 to 10 characters</w:t>
            </w:r>
          </w:p>
        </w:tc>
      </w:tr>
      <w:tr>
        <w:tc>
          <w:tcPr>
            <w:tcW w:w="3000" w:type="dxa"/>
            <w:shd w:fill="F3F6F4"/>
          </w:tcPr>
          <w:p>
            <w:pPr>
              <w:spacing w:before="40" w:after="40"/>
            </w:pPr>
            <w:r>
              <w:t xml:space="preserve">SQL_ADMIN_OBJECT_ID</w:t>
            </w:r>
          </w:p>
        </w:tc>
        <w:tc>
          <w:tcPr>
            <w:tcW w:w="3000" w:type="dxa"/>
            <w:shd w:fill="F3F6F4"/>
          </w:tcPr>
          <w:p>
            <w:pPr>
              <w:spacing w:before="40" w:after="40"/>
            </w:pPr>
            <w:r>
              <w:t xml:space="preserve">Object ID of the Entra user administering SQL</w:t>
            </w:r>
          </w:p>
        </w:tc>
      </w:tr>
      <w:tr>
        <w:tc>
          <w:tcPr>
            <w:tcW w:w="3000" w:type="dxa"/>
            <w:shd w:fill="F3F6F4"/>
          </w:tcPr>
          <w:p>
            <w:pPr>
              <w:spacing w:before="40" w:after="40"/>
            </w:pPr>
            <w:r>
              <w:t xml:space="preserve">SQL_ADMIN_LOGIN</w:t>
            </w:r>
          </w:p>
        </w:tc>
        <w:tc>
          <w:tcPr>
            <w:tcW w:w="3000" w:type="dxa"/>
            <w:shd w:fill="F3F6F4"/>
          </w:tcPr>
          <w:p>
            <w:pPr>
              <w:spacing w:before="40" w:after="40"/>
            </w:pPr>
            <w:r>
              <w:t xml:space="preserve">Admin sign-in name (UPN), usually an email address</w:t>
            </w:r>
          </w:p>
        </w:tc>
      </w:tr>
    </w:tbl>
    <w:p>
      <w:r>
        <w:t xml:space="preserve">Find the SQL admin Object ID in Microsoft Entra ID &gt; Users &gt; select the user. Use an account you can sign in with during database setup.</w:t>
      </w:r>
    </w:p>
    <w:p>
      <w:pPr>
        <w:pStyle w:val="Heading1"/>
      </w:pPr>
      <w:r>
        <w:t xml:space="preserve">5. Run the deployment workflow</w:t>
      </w:r>
    </w:p>
    <w:p>
      <w:r>
        <w:t xml:space="preserve">The workflow runs after a push to main. Or use GitHub repository &gt; Actions &gt; Deploy to Azure &gt; Run workflow &gt; main. Monitor it to completion. It builds and checks the app, provisions Azure resources, and deploys the API and frontend. If a step fails, inspect that step log before retrying.</w:t>
      </w:r>
    </w:p>
    <w:p>
      <w:pPr>
        <w:pStyle w:val="Heading1"/>
      </w:pPr>
      <w:r>
        <w:t xml:space="preserve">6. Initialize Azure SQL (one time)</w:t>
      </w:r>
    </w:p>
    <w:p>
      <w:r>
        <w:t xml:space="preserve">In Azure Portal, open the SQL server &gt; Networking and temporarily add your current client IP to firewall rules.</w:t>
      </w:r>
    </w:p>
    <w:p>
      <w:r>
        <w:t xml:space="preserve">Open the FileLibrary database and launch Query editor. Sign in as the Entra SQL admin configured above.</w:t>
      </w:r>
    </w:p>
    <w:p>
      <w:r>
        <w:t xml:space="preserve">Open infra/sql/bootstrap.sql from the repository. Replace REPLACE_WITH_API_APP_NAME with the API App Service name from deployment outputs. Run the script against FileLibrary. It creates the Files table and grants the API managed identity data-reader and data-writer roles.</w:t>
      </w:r>
    </w:p>
    <w:p>
      <w:r>
        <w:t xml:space="preserve">Remove your temporary firewall rule. The workflow configures the API outbound addresses separately.</w:t>
      </w:r>
    </w:p>
    <w:p>
      <w:pPr>
        <w:pStyle w:val="Heading1"/>
      </w:pPr>
      <w:r>
        <w:t xml:space="preserve">7. Open and verify the public app</w:t>
      </w:r>
    </w:p>
    <w:p>
      <w:r>
        <w:t xml:space="preserve">In Azure Portal, open resource group &gt; Deployments &gt; file-library &gt; Outputs. Open staticWebAppUrl. The API health URL is https://&lt;api-name&gt;.azurewebsites.net/api/health and should return ready after database initialization.</w:t>
      </w:r>
    </w:p>
    <w:p>
      <w:r>
        <w:t xml:space="preserve">Existing local files are not copied to Azure; the database starts empty. Export/import existing records separately. Once records are in Azure SQL, legacy file contents stored in SQL remain downloadable. New uploads use Blob Storage.</w:t>
      </w:r>
    </w:p>
    <w:p>
      <w:pPr>
        <w:pStyle w:val="Heading1"/>
      </w:pPr>
      <w:r>
        <w:t xml:space="preserve">Troubleshooting</w:t>
      </w:r>
    </w:p>
    <w:p>
      <w:r>
        <w:t xml:space="preserve">GitHub login fails: check client, tenant and subscription IDs; federated credential owner/repository/branch; and resource-group roles.</w:t>
      </w:r>
    </w:p>
    <w:p>
      <w:r>
        <w:t xml:space="preserve">API health is not ready: confirm bootstrap.sql ran against FileLibrary, the API app name is correct, and its managed identity has SQL data roles.</w:t>
      </w:r>
    </w:p>
    <w:p>
      <w:r>
        <w:t xml:space="preserve">Browser cannot call API: verify AllowedOrigins__0 in App Service matches the Static Web App origin. Review browser developer tools and App Service logs.</w:t>
      </w:r>
    </w:p>
    <w:p>
      <w:pPr>
        <w:pStyle w:val="Heading1"/>
      </w:pPr>
      <w:r>
        <w:t xml:space="preserve">Project deployment files</w:t>
      </w:r>
    </w:p>
    <w:p>
      <w:r>
        <w:t xml:space="preserve">.github/workflows/deploy-azure.yml - GitHub Actions pipeline</w:t>
      </w:r>
    </w:p>
    <w:p>
      <w:r>
        <w:t xml:space="preserve">infra/main.bicep - Azure infrastructure template</w:t>
      </w:r>
    </w:p>
    <w:p>
      <w:r>
        <w:t xml:space="preserve">infra/sql/bootstrap.sql - one-time database setup</w:t>
      </w:r>
    </w:p>
    <w:sectPr>
      <w:pgSz w:w="12240" w:h="15840"/>
      <w:pgMar w:top="900" w:right="900" w:bottom="900" w:left="900"/>
    </w:sectPr>
  </w:body>
</w:document>
</file>

<file path=word/styles.xml><?xml version="1.0" encoding="utf-8"?>
<w:styles xmlns:w="http://schemas.openxmlformats.org/wordprocessingml/2006/main">
  <w:style w:type="paragraph" w:default="1" w:styleId="Normal">
    <w:name w:val="Normal"/>
    <w:rPr>
      <w:rFonts w:ascii="Aptos" w:hAnsi="Aptos"/>
      <w:sz w:val="21"/>
      <w:color w:val="26332E"/>
    </w:rPr>
    <w:pPr>
      <w:spacing w:after="140" w:line="276" w:lineRule="auto"/>
    </w:pPr>
  </w:style>
  <w:style w:type="paragraph" w:styleId="Title">
    <w:name w:val="Title"/>
    <w:basedOn w:val="Normal"/>
    <w:rPr>
      <w:b/>
      <w:sz w:val="36"/>
      <w:color w:val="244A3C"/>
    </w:rPr>
  </w:style>
  <w:style w:type="paragraph" w:styleId="Subtitle">
    <w:name w:val="Subtitle"/>
    <w:basedOn w:val="Normal"/>
    <w:rPr>
      <w:sz w:val="23"/>
      <w:color w:val="64756D"/>
    </w:rPr>
  </w:style>
  <w:style w:type="paragraph" w:styleId="Heading1">
    <w:name w:val="heading 1"/>
    <w:basedOn w:val="Normal"/>
    <w:next w:val="Normal"/>
    <w:qFormat/>
    <w:rPr>
      <w:b/>
      <w:sz w:val="27"/>
      <w:color w:val="244A3C"/>
    </w:rPr>
    <w:pPr>
      <w:keepNext/>
      <w:spacing w:before="260" w:after="120"/>
    </w:pPr>
  </w:style>
  <w:style w:type="paragraph" w:styleId="CodeBlock">
    <w:name w:val="Code Block"/>
    <w:basedOn w:val="Normal"/>
    <w:rPr>
      <w:rFonts w:ascii="Consolas" w:hAnsi="Consolas"/>
      <w:sz w:val="19"/>
    </w:rPr>
    <w:pPr>
      <w:shd w:fill="F1F4F2"/>
      <w:spacing w:after="4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