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00000"/>
          <w:sz w:val="40"/>
          <w:szCs w:val="40"/>
        </w:rPr>
        <w:t xml:space="preserve">GenieBot L1 Assistant</w:t>
      </w:r>
    </w:p>
    <w:p>
      <w:pPr>
        <w:spacing w:after="40"/>
      </w:pPr>
      <w:r>
        <w:rPr>
          <w:rFonts w:ascii="Calibri" w:cs="Calibri" w:eastAsia="Calibri" w:hAnsi="Calibri"/>
          <w:i/>
          <w:iCs/>
          <w:color w:val="000000"/>
          <w:sz w:val="24"/>
          <w:szCs w:val="24"/>
        </w:rPr>
        <w:t xml:space="preserve">End-to-End Technical Design &amp; Development Document</w:t>
      </w:r>
    </w:p>
    <w:p>
      <w:pPr>
        <w:spacing w:after="200"/>
      </w:pPr>
      <w:r>
        <w:rPr>
          <w:rFonts w:ascii="Calibri" w:cs="Calibri" w:eastAsia="Calibri" w:hAnsi="Calibri"/>
          <w:color w:val="000000"/>
          <w:sz w:val="18"/>
          <w:szCs w:val="18"/>
        </w:rPr>
        <w:t xml:space="preserve">Prepared by: Suriya  |  SME Manager, Business &amp; Data Analytics, CIB Middle Office  |  TCFC OMRC AI/ML</w:t>
      </w:r>
    </w:p>
    <w:p>
      <w:pPr>
        <w:pBdr>
          <w:bottom w:val="single" w:color="BFBFBF" w:sz="6" w:space="1"/>
        </w:pBdr>
        <w:spacing w:after="240"/>
      </w:pPr>
    </w:p>
    <w:p>
      <w:pPr>
        <w:pStyle w:val="Heading1"/>
        <w:spacing w:after="140" w:before="320"/>
      </w:pPr>
      <w:r>
        <w:rPr>
          <w:rFonts w:ascii="Calibri" w:cs="Calibri" w:eastAsia="Calibri" w:hAnsi="Calibri"/>
          <w:b/>
          <w:bCs/>
          <w:color w:val="000000"/>
          <w:sz w:val="28"/>
          <w:szCs w:val="28"/>
        </w:rPr>
        <w:t xml:space="preserve">1. Introduction</w:t>
      </w:r>
    </w:p>
    <w:p>
      <w:pPr>
        <w:pStyle w:val="Heading2"/>
        <w:spacing w:after="100" w:before="240"/>
      </w:pPr>
      <w:r>
        <w:rPr>
          <w:rFonts w:ascii="Calibri" w:cs="Calibri" w:eastAsia="Calibri" w:hAnsi="Calibri"/>
          <w:b/>
          <w:bCs/>
          <w:color w:val="000000"/>
          <w:sz w:val="24"/>
          <w:szCs w:val="24"/>
        </w:rPr>
        <w:t xml:space="preserve">1.1 Purpose</w:t>
      </w:r>
    </w:p>
    <w:p>
      <w:pPr>
        <w:spacing w:after="140"/>
      </w:pPr>
      <w:r>
        <w:rPr>
          <w:rFonts w:ascii="Calibri" w:cs="Calibri" w:eastAsia="Calibri" w:hAnsi="Calibri"/>
          <w:color w:val="000000"/>
          <w:sz w:val="22"/>
          <w:szCs w:val="22"/>
        </w:rPr>
        <w:t xml:space="preserve">This document is the technical build reference for the GenieBot L1 Assistant. It translates the approved architecture and requirements into implementable design: component structure, data models, knowledge base construction, agent orchestration, prompt contracts, API specifications, guardrail implementation, deployment topology and test strategy. It is intended for the development team, reviewers and the model risk assessor.</w:t>
      </w:r>
    </w:p>
    <w:p>
      <w:pPr>
        <w:pStyle w:val="Heading2"/>
        <w:spacing w:after="100" w:before="240"/>
      </w:pPr>
      <w:r>
        <w:rPr>
          <w:rFonts w:ascii="Calibri" w:cs="Calibri" w:eastAsia="Calibri" w:hAnsi="Calibri"/>
          <w:b/>
          <w:bCs/>
          <w:color w:val="000000"/>
          <w:sz w:val="24"/>
          <w:szCs w:val="24"/>
        </w:rPr>
        <w:t xml:space="preserve">1.2 Problem Statement</w:t>
      </w:r>
    </w:p>
    <w:p>
      <w:pPr>
        <w:spacing w:after="140"/>
      </w:pPr>
      <w:r>
        <w:rPr>
          <w:rFonts w:ascii="Calibri" w:cs="Calibri" w:eastAsia="Calibri" w:hAnsi="Calibri"/>
          <w:color w:val="000000"/>
          <w:sz w:val="22"/>
          <w:szCs w:val="22"/>
        </w:rPr>
        <w:t xml:space="preserve">Genie Bot batch automation failures are currently triaged manually. The end user encounters an error, manually fills a support template and emails the Genie Support Mailbox. Production support then reads the email, manually searches execution logs in S3 and the working directory, and manually creates a Jira ticket. This produces delayed triage, inconsistent template quality, duplicate tickets and no reusable knowledge from resolved incidents.</w:t>
      </w:r>
    </w:p>
    <w:p>
      <w:pPr>
        <w:pStyle w:val="Heading2"/>
        <w:spacing w:after="100" w:before="240"/>
      </w:pPr>
      <w:r>
        <w:rPr>
          <w:rFonts w:ascii="Calibri" w:cs="Calibri" w:eastAsia="Calibri" w:hAnsi="Calibri"/>
          <w:b/>
          <w:bCs/>
          <w:color w:val="000000"/>
          <w:sz w:val="24"/>
          <w:szCs w:val="24"/>
        </w:rPr>
        <w:t xml:space="preserve">1.3 Solution Summary</w:t>
      </w:r>
    </w:p>
    <w:p>
      <w:pPr>
        <w:spacing w:after="140"/>
      </w:pPr>
      <w:r>
        <w:rPr>
          <w:rFonts w:ascii="Calibri" w:cs="Calibri" w:eastAsia="Calibri" w:hAnsi="Calibri"/>
          <w:color w:val="000000"/>
          <w:sz w:val="22"/>
          <w:szCs w:val="22"/>
        </w:rPr>
        <w:t xml:space="preserve">An event-driven agentic pipeline replaces the manual path. Log write events trigger automated parsing, retrieval-augmented diagnosis, escalation template pre-fill and integration with Jira and email — with a mandatory human review gate before submission, guardrails on both input and output, and a feedback loop that converts resolved incidents into reusable knowledge base content.</w:t>
      </w:r>
    </w:p>
    <w:p>
      <w:pPr>
        <w:pStyle w:val="Heading2"/>
        <w:spacing w:after="100" w:before="240"/>
      </w:pPr>
      <w:r>
        <w:rPr>
          <w:rFonts w:ascii="Calibri" w:cs="Calibri" w:eastAsia="Calibri" w:hAnsi="Calibri"/>
          <w:b/>
          <w:bCs/>
          <w:color w:val="000000"/>
          <w:sz w:val="24"/>
          <w:szCs w:val="24"/>
        </w:rPr>
        <w:t xml:space="preserve">1.4 Design Principles</w:t>
      </w:r>
    </w:p>
    <w:p>
      <w:pPr>
        <w:pStyle w:val="ListParagraph"/>
        <w:numPr>
          <w:ilvl w:val="0"/>
          <w:numId w:val="1"/>
        </w:numPr>
        <w:spacing w:after="60"/>
      </w:pPr>
      <w:r>
        <w:rPr>
          <w:rFonts w:ascii="Calibri" w:cs="Calibri" w:eastAsia="Calibri" w:hAnsi="Calibri"/>
          <w:color w:val="000000"/>
          <w:sz w:val="21"/>
          <w:szCs w:val="21"/>
        </w:rPr>
        <w:t xml:space="preserve">Proposal-only: the assistant recommends; it never executes remediation against production systems.</w:t>
      </w:r>
    </w:p>
    <w:p>
      <w:pPr>
        <w:pStyle w:val="ListParagraph"/>
        <w:numPr>
          <w:ilvl w:val="0"/>
          <w:numId w:val="1"/>
        </w:numPr>
        <w:spacing w:after="60"/>
      </w:pPr>
      <w:r>
        <w:rPr>
          <w:rFonts w:ascii="Calibri" w:cs="Calibri" w:eastAsia="Calibri" w:hAnsi="Calibri"/>
          <w:color w:val="000000"/>
          <w:sz w:val="21"/>
          <w:szCs w:val="21"/>
        </w:rPr>
        <w:t xml:space="preserve">Grounded output: every factual claim traces to parsed log evidence or a retrieved knowledge base entry.</w:t>
      </w:r>
    </w:p>
    <w:p>
      <w:pPr>
        <w:pStyle w:val="ListParagraph"/>
        <w:numPr>
          <w:ilvl w:val="0"/>
          <w:numId w:val="1"/>
        </w:numPr>
        <w:spacing w:after="60"/>
      </w:pPr>
      <w:r>
        <w:rPr>
          <w:rFonts w:ascii="Calibri" w:cs="Calibri" w:eastAsia="Calibri" w:hAnsi="Calibri"/>
          <w:color w:val="000000"/>
          <w:sz w:val="21"/>
          <w:szCs w:val="21"/>
        </w:rPr>
        <w:t xml:space="preserve">Fail closed: any guardrail, parsing or model failure routes the incident to the existing manual path rather than proceeding.</w:t>
      </w:r>
    </w:p>
    <w:p>
      <w:pPr>
        <w:pStyle w:val="ListParagraph"/>
        <w:numPr>
          <w:ilvl w:val="0"/>
          <w:numId w:val="1"/>
        </w:numPr>
        <w:spacing w:after="60"/>
      </w:pPr>
      <w:r>
        <w:rPr>
          <w:rFonts w:ascii="Calibri" w:cs="Calibri" w:eastAsia="Calibri" w:hAnsi="Calibri"/>
          <w:color w:val="000000"/>
          <w:sz w:val="21"/>
          <w:szCs w:val="21"/>
        </w:rPr>
        <w:t xml:space="preserve">Human gate first: automation of the submission step is earned through pilot evidence, not assumed at go-live.</w:t>
      </w:r>
    </w:p>
    <w:p>
      <w:pPr>
        <w:pStyle w:val="ListParagraph"/>
        <w:numPr>
          <w:ilvl w:val="0"/>
          <w:numId w:val="1"/>
        </w:numPr>
        <w:spacing w:after="60"/>
      </w:pPr>
      <w:r>
        <w:rPr>
          <w:rFonts w:ascii="Calibri" w:cs="Calibri" w:eastAsia="Calibri" w:hAnsi="Calibri"/>
          <w:color w:val="000000"/>
          <w:sz w:val="21"/>
          <w:szCs w:val="21"/>
        </w:rPr>
        <w:t xml:space="preserve">Everything auditable: prompts, retrieved context, outputs and human decisions are recorded per incident.</w:t>
      </w:r>
    </w:p>
    <w:p>
      <w:r>
        <w:br w:type="page"/>
      </w:r>
    </w:p>
    <w:p>
      <w:pPr>
        <w:pStyle w:val="Heading1"/>
        <w:spacing w:after="140" w:before="320"/>
      </w:pPr>
      <w:r>
        <w:rPr>
          <w:rFonts w:ascii="Calibri" w:cs="Calibri" w:eastAsia="Calibri" w:hAnsi="Calibri"/>
          <w:b/>
          <w:bCs/>
          <w:color w:val="000000"/>
          <w:sz w:val="28"/>
          <w:szCs w:val="28"/>
        </w:rPr>
        <w:t xml:space="preserve">2. Solution Architecture</w:t>
      </w:r>
    </w:p>
    <w:p>
      <w:pPr>
        <w:pStyle w:val="Heading2"/>
        <w:spacing w:after="100" w:before="240"/>
      </w:pPr>
      <w:r>
        <w:rPr>
          <w:rFonts w:ascii="Calibri" w:cs="Calibri" w:eastAsia="Calibri" w:hAnsi="Calibri"/>
          <w:b/>
          <w:bCs/>
          <w:color w:val="000000"/>
          <w:sz w:val="24"/>
          <w:szCs w:val="24"/>
        </w:rPr>
        <w:t xml:space="preserve">2.1 Layered 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680"/>
      </w:tblGrid>
      <w:tr>
        <w:tc>
          <w:tcPr>
            <w:tcW w:type="dxa" w:w="12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Layer</w:t>
            </w:r>
          </w:p>
        </w:tc>
        <w:tc>
          <w:tcPr>
            <w:tcW w:type="dxa" w:w="32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Component</w:t>
            </w:r>
          </w:p>
        </w:tc>
        <w:tc>
          <w:tcPr>
            <w:tcW w:type="dxa" w:w="568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Responsibility</w:t>
            </w:r>
          </w:p>
        </w:tc>
      </w:tr>
      <w:tr>
        <w:tc>
          <w:tcPr>
            <w:tcW w:type="dxa" w:w="1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L1</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Ingestion &amp; Trigger</w:t>
            </w:r>
          </w:p>
        </w:tc>
        <w:tc>
          <w:tcPr>
            <w:tcW w:type="dxa" w:w="5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S3 event detection, failure classification, incident record creation, queueing</w:t>
            </w:r>
          </w:p>
        </w:tc>
      </w:tr>
      <w:tr>
        <w:tc>
          <w:tcPr>
            <w:tcW w:type="dxa" w:w="12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L2</w:t>
            </w:r>
          </w:p>
        </w:tc>
        <w:tc>
          <w:tcPr>
            <w:tcW w:type="dxa" w:w="32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Input Guardrails</w:t>
            </w:r>
          </w:p>
        </w:tc>
        <w:tc>
          <w:tcPr>
            <w:tcW w:type="dxa" w:w="5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Redaction, data classification, injection screening, payload capping</w:t>
            </w:r>
          </w:p>
        </w:tc>
      </w:tr>
      <w:tr>
        <w:tc>
          <w:tcPr>
            <w:tcW w:type="dxa" w:w="1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L3</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Agent Pipeline</w:t>
            </w:r>
          </w:p>
        </w:tc>
        <w:tc>
          <w:tcPr>
            <w:tcW w:type="dxa" w:w="5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Log Parser, Diagnostic (L1 Triage), Confidence Gate, Template Generator</w:t>
            </w:r>
          </w:p>
        </w:tc>
      </w:tr>
      <w:tr>
        <w:tc>
          <w:tcPr>
            <w:tcW w:type="dxa" w:w="12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L3</w:t>
            </w:r>
          </w:p>
        </w:tc>
        <w:tc>
          <w:tcPr>
            <w:tcW w:type="dxa" w:w="32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Knowledge Base</w:t>
            </w:r>
          </w:p>
        </w:tc>
        <w:tc>
          <w:tcPr>
            <w:tcW w:type="dxa" w:w="5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Vector store of incidents, SOPs and templates; semantic retrieval</w:t>
            </w:r>
          </w:p>
        </w:tc>
      </w:tr>
      <w:tr>
        <w:tc>
          <w:tcPr>
            <w:tcW w:type="dxa" w:w="1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L4</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Output Guardrails</w:t>
            </w:r>
          </w:p>
        </w:tc>
        <w:tc>
          <w:tcPr>
            <w:tcW w:type="dxa" w:w="5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Grounding check, proposal-only enforcement, moderation, budget and loop caps</w:t>
            </w:r>
          </w:p>
        </w:tc>
      </w:tr>
      <w:tr>
        <w:tc>
          <w:tcPr>
            <w:tcW w:type="dxa" w:w="12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L5</w:t>
            </w:r>
          </w:p>
        </w:tc>
        <w:tc>
          <w:tcPr>
            <w:tcW w:type="dxa" w:w="32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Human-in-the-Loop</w:t>
            </w:r>
          </w:p>
        </w:tc>
        <w:tc>
          <w:tcPr>
            <w:tcW w:type="dxa" w:w="5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Review UI, edit, approve, reject, approve controlled rerun</w:t>
            </w:r>
          </w:p>
        </w:tc>
      </w:tr>
      <w:tr>
        <w:tc>
          <w:tcPr>
            <w:tcW w:type="dxa" w:w="1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L6</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Integration Agent</w:t>
            </w:r>
          </w:p>
        </w:tc>
        <w:tc>
          <w:tcPr>
            <w:tcW w:type="dxa" w:w="5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Jira ticket creation, email dispatch, deduplication</w:t>
            </w:r>
          </w:p>
        </w:tc>
      </w:tr>
      <w:tr>
        <w:tc>
          <w:tcPr>
            <w:tcW w:type="dxa" w:w="12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L7</w:t>
            </w:r>
          </w:p>
        </w:tc>
        <w:tc>
          <w:tcPr>
            <w:tcW w:type="dxa" w:w="32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Feedback Loop</w:t>
            </w:r>
          </w:p>
        </w:tc>
        <w:tc>
          <w:tcPr>
            <w:tcW w:type="dxa" w:w="5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Resolution capture, SOP drafting, KB re-indexing</w:t>
            </w:r>
          </w:p>
        </w:tc>
      </w:tr>
      <w:tr>
        <w:tc>
          <w:tcPr>
            <w:tcW w:type="dxa" w:w="1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L8</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Observability</w:t>
            </w:r>
          </w:p>
        </w:tc>
        <w:tc>
          <w:tcPr>
            <w:tcW w:type="dxa" w:w="5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Cost, latency, quality metrics, drift, immutable audit</w:t>
            </w:r>
          </w:p>
        </w:tc>
      </w:tr>
      <w:tr>
        <w:tc>
          <w:tcPr>
            <w:tcW w:type="dxa" w:w="12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L9</w:t>
            </w:r>
          </w:p>
        </w:tc>
        <w:tc>
          <w:tcPr>
            <w:tcW w:type="dxa" w:w="32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Resilience</w:t>
            </w:r>
          </w:p>
        </w:tc>
        <w:tc>
          <w:tcPr>
            <w:tcW w:type="dxa" w:w="5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Kill-switch, versioned configs, fallback routing, runbook</w:t>
            </w:r>
          </w:p>
        </w:tc>
      </w:tr>
    </w:tbl>
    <w:p>
      <w:pPr>
        <w:pStyle w:val="Heading2"/>
        <w:spacing w:after="100" w:before="240"/>
      </w:pPr>
      <w:r>
        <w:rPr>
          <w:rFonts w:ascii="Calibri" w:cs="Calibri" w:eastAsia="Calibri" w:hAnsi="Calibri"/>
          <w:b/>
          <w:bCs/>
          <w:color w:val="000000"/>
          <w:sz w:val="24"/>
          <w:szCs w:val="24"/>
        </w:rPr>
        <w:t xml:space="preserve">2.2 End-to-End Sequence</w:t>
      </w:r>
    </w:p>
    <w:p>
      <w:pPr>
        <w:spacing w:after="60"/>
        <w:ind w:left="420"/>
      </w:pPr>
      <w:r>
        <w:rPr>
          <w:rFonts w:ascii="Calibri" w:cs="Calibri" w:eastAsia="Calibri" w:hAnsi="Calibri"/>
          <w:color w:val="000000"/>
          <w:sz w:val="21"/>
          <w:szCs w:val="21"/>
        </w:rPr>
        <w:t xml:space="preserve">1. Genie Bot writes execution log to S3 working directory.</w:t>
      </w:r>
    </w:p>
    <w:p>
      <w:pPr>
        <w:spacing w:after="60"/>
        <w:ind w:left="420"/>
      </w:pPr>
      <w:r>
        <w:rPr>
          <w:rFonts w:ascii="Calibri" w:cs="Calibri" w:eastAsia="Calibri" w:hAnsi="Calibri"/>
          <w:color w:val="000000"/>
          <w:sz w:val="21"/>
          <w:szCs w:val="21"/>
        </w:rPr>
        <w:t xml:space="preserve">2. S3 event notification triggers the ingestion service; failure logs create an incident record and enqueue it.</w:t>
      </w:r>
    </w:p>
    <w:p>
      <w:pPr>
        <w:spacing w:after="60"/>
        <w:ind w:left="420"/>
      </w:pPr>
      <w:r>
        <w:rPr>
          <w:rFonts w:ascii="Calibri" w:cs="Calibri" w:eastAsia="Calibri" w:hAnsi="Calibri"/>
          <w:color w:val="000000"/>
          <w:sz w:val="21"/>
          <w:szCs w:val="21"/>
        </w:rPr>
        <w:t xml:space="preserve">3. Input guardrails redact, classify and screen the log payload. Failure here routes to manual L2.</w:t>
      </w:r>
    </w:p>
    <w:p>
      <w:pPr>
        <w:spacing w:after="60"/>
        <w:ind w:left="420"/>
      </w:pPr>
      <w:r>
        <w:rPr>
          <w:rFonts w:ascii="Calibri" w:cs="Calibri" w:eastAsia="Calibri" w:hAnsi="Calibri"/>
          <w:color w:val="000000"/>
          <w:sz w:val="21"/>
          <w:szCs w:val="21"/>
        </w:rPr>
        <w:t xml:space="preserve">4. Log Parser Agent extracts a structured error signature with line-level evidence references.</w:t>
      </w:r>
    </w:p>
    <w:p>
      <w:pPr>
        <w:spacing w:after="60"/>
        <w:ind w:left="420"/>
      </w:pPr>
      <w:r>
        <w:rPr>
          <w:rFonts w:ascii="Calibri" w:cs="Calibri" w:eastAsia="Calibri" w:hAnsi="Calibri"/>
          <w:color w:val="000000"/>
          <w:sz w:val="21"/>
          <w:szCs w:val="21"/>
        </w:rPr>
        <w:t xml:space="preserve">5. Retrieval service embeds the error signature and queries the vector store for top-N similar historical incidents and SOPs.</w:t>
      </w:r>
    </w:p>
    <w:p>
      <w:pPr>
        <w:spacing w:after="60"/>
        <w:ind w:left="420"/>
      </w:pPr>
      <w:r>
        <w:rPr>
          <w:rFonts w:ascii="Calibri" w:cs="Calibri" w:eastAsia="Calibri" w:hAnsi="Calibri"/>
          <w:color w:val="000000"/>
          <w:sz w:val="21"/>
          <w:szCs w:val="21"/>
        </w:rPr>
        <w:t xml:space="preserve">6. Diagnostic Agent produces root cause, proposed L1 resolution, cited evidence and a confidence score.</w:t>
      </w:r>
    </w:p>
    <w:p>
      <w:pPr>
        <w:spacing w:after="60"/>
        <w:ind w:left="420"/>
      </w:pPr>
      <w:r>
        <w:rPr>
          <w:rFonts w:ascii="Calibri" w:cs="Calibri" w:eastAsia="Calibri" w:hAnsi="Calibri"/>
          <w:color w:val="000000"/>
          <w:sz w:val="21"/>
          <w:szCs w:val="21"/>
        </w:rPr>
        <w:t xml:space="preserve">7. Confidence Gate: at or above threshold continue; below threshold force escalation path.</w:t>
      </w:r>
    </w:p>
    <w:p>
      <w:pPr>
        <w:spacing w:after="60"/>
        <w:ind w:left="420"/>
      </w:pPr>
      <w:r>
        <w:rPr>
          <w:rFonts w:ascii="Calibri" w:cs="Calibri" w:eastAsia="Calibri" w:hAnsi="Calibri"/>
          <w:color w:val="000000"/>
          <w:sz w:val="21"/>
          <w:szCs w:val="21"/>
        </w:rPr>
        <w:t xml:space="preserve">8. Template Generator Agent pre-fills the L2 escalation template where escalation is required.</w:t>
      </w:r>
    </w:p>
    <w:p>
      <w:pPr>
        <w:spacing w:after="60"/>
        <w:ind w:left="420"/>
      </w:pPr>
      <w:r>
        <w:rPr>
          <w:rFonts w:ascii="Calibri" w:cs="Calibri" w:eastAsia="Calibri" w:hAnsi="Calibri"/>
          <w:color w:val="000000"/>
          <w:sz w:val="21"/>
          <w:szCs w:val="21"/>
        </w:rPr>
        <w:t xml:space="preserve">9. Output guardrails verify grounding, enforce proposal-only, run moderation and check budget and loop caps.</w:t>
      </w:r>
    </w:p>
    <w:p>
      <w:pPr>
        <w:spacing w:after="60"/>
        <w:ind w:left="420"/>
      </w:pPr>
      <w:r>
        <w:rPr>
          <w:rFonts w:ascii="Calibri" w:cs="Calibri" w:eastAsia="Calibri" w:hAnsi="Calibri"/>
          <w:color w:val="000000"/>
          <w:sz w:val="21"/>
          <w:szCs w:val="21"/>
        </w:rPr>
        <w:t xml:space="preserve">10. Review UI presents diagnosis, evidence, confidence and template to production support.</w:t>
      </w:r>
    </w:p>
    <w:p>
      <w:pPr>
        <w:spacing w:after="60"/>
        <w:ind w:left="420"/>
      </w:pPr>
      <w:r>
        <w:rPr>
          <w:rFonts w:ascii="Calibri" w:cs="Calibri" w:eastAsia="Calibri" w:hAnsi="Calibri"/>
          <w:color w:val="000000"/>
          <w:sz w:val="21"/>
          <w:szCs w:val="21"/>
        </w:rPr>
        <w:t xml:space="preserve">11. Reviewer edits, adds comments and approves, rejects, or approves a controlled rerun (which returns to step 6).</w:t>
      </w:r>
    </w:p>
    <w:p>
      <w:pPr>
        <w:spacing w:after="60"/>
        <w:ind w:left="420"/>
      </w:pPr>
      <w:r>
        <w:rPr>
          <w:rFonts w:ascii="Calibri" w:cs="Calibri" w:eastAsia="Calibri" w:hAnsi="Calibri"/>
          <w:color w:val="000000"/>
          <w:sz w:val="21"/>
          <w:szCs w:val="21"/>
        </w:rPr>
        <w:t xml:space="preserve">12. Integration Agent deduplicates, creates the Jira ticket with attached logs, and dispatches the email to the support mailbox.</w:t>
      </w:r>
    </w:p>
    <w:p>
      <w:pPr>
        <w:spacing w:after="60"/>
        <w:ind w:left="420"/>
      </w:pPr>
      <w:r>
        <w:rPr>
          <w:rFonts w:ascii="Calibri" w:cs="Calibri" w:eastAsia="Calibri" w:hAnsi="Calibri"/>
          <w:color w:val="000000"/>
          <w:sz w:val="21"/>
          <w:szCs w:val="21"/>
        </w:rPr>
        <w:t xml:space="preserve">13. On Jira closure, the feedback service captures the resolution, drafts SOP content for human validation and re-indexes approved content into the knowledge base.</w:t>
      </w:r>
    </w:p>
    <w:p>
      <w:pPr>
        <w:pStyle w:val="Heading2"/>
        <w:spacing w:after="100" w:before="240"/>
      </w:pPr>
      <w:r>
        <w:rPr>
          <w:rFonts w:ascii="Calibri" w:cs="Calibri" w:eastAsia="Calibri" w:hAnsi="Calibri"/>
          <w:b/>
          <w:bCs/>
          <w:color w:val="000000"/>
          <w:sz w:val="24"/>
          <w:szCs w:val="24"/>
        </w:rPr>
        <w:t xml:space="preserve">2.3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080"/>
      </w:tblGrid>
      <w:tr>
        <w:tc>
          <w:tcPr>
            <w:tcW w:type="dxa" w:w="26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Concern</w:t>
            </w:r>
          </w:p>
        </w:tc>
        <w:tc>
          <w:tcPr>
            <w:tcW w:type="dxa" w:w="34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Selection</w:t>
            </w:r>
          </w:p>
        </w:tc>
        <w:tc>
          <w:tcPr>
            <w:tcW w:type="dxa" w:w="408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Notes</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Orchestration service</w:t>
            </w:r>
          </w:p>
        </w:tc>
        <w:tc>
          <w:tcPr>
            <w:tcW w:type="dxa" w:w="3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Python (FastAPI) service</w:t>
            </w:r>
          </w:p>
        </w:tc>
        <w:tc>
          <w:tcPr>
            <w:tcW w:type="dxa" w:w="40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Aligns with existing reconciliation pipeline tooling</w:t>
            </w:r>
          </w:p>
        </w:tc>
      </w:tr>
      <w:tr>
        <w:tc>
          <w:tcPr>
            <w:tcW w:type="dxa" w:w="2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Generation model</w:t>
            </w:r>
          </w:p>
        </w:tc>
        <w:tc>
          <w:tcPr>
            <w:tcW w:type="dxa" w:w="3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GPT-5.1 via internal AI platform</w:t>
            </w:r>
          </w:p>
        </w:tc>
        <w:tc>
          <w:tcPr>
            <w:tcW w:type="dxa" w:w="40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Parser, Diagnostic and Template agents</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Embedding model</w:t>
            </w:r>
          </w:p>
        </w:tc>
        <w:tc>
          <w:tcPr>
            <w:tcW w:type="dxa" w:w="3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text-embedding-small via internal AI platform</w:t>
            </w:r>
          </w:p>
        </w:tc>
        <w:tc>
          <w:tcPr>
            <w:tcW w:type="dxa" w:w="40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KB indexing and query embedding</w:t>
            </w:r>
          </w:p>
        </w:tc>
      </w:tr>
      <w:tr>
        <w:tc>
          <w:tcPr>
            <w:tcW w:type="dxa" w:w="2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Vector store</w:t>
            </w:r>
          </w:p>
        </w:tc>
        <w:tc>
          <w:tcPr>
            <w:tcW w:type="dxa" w:w="3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Approved internal vector database or pgvector</w:t>
            </w:r>
          </w:p>
        </w:tc>
        <w:tc>
          <w:tcPr>
            <w:tcW w:type="dxa" w:w="40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Selection subject to platform standards review</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Relational store</w:t>
            </w:r>
          </w:p>
        </w:tc>
        <w:tc>
          <w:tcPr>
            <w:tcW w:type="dxa" w:w="3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Incident, audit and config tables</w:t>
            </w:r>
          </w:p>
        </w:tc>
        <w:tc>
          <w:tcPr>
            <w:tcW w:type="dxa" w:w="40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Incident state machine and audit ledger</w:t>
            </w:r>
          </w:p>
        </w:tc>
      </w:tr>
      <w:tr>
        <w:tc>
          <w:tcPr>
            <w:tcW w:type="dxa" w:w="2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Queue</w:t>
            </w:r>
          </w:p>
        </w:tc>
        <w:tc>
          <w:tcPr>
            <w:tcW w:type="dxa" w:w="3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Durable message queue with retry and DLQ</w:t>
            </w:r>
          </w:p>
        </w:tc>
        <w:tc>
          <w:tcPr>
            <w:tcW w:type="dxa" w:w="40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Decouples ingestion from agent processing</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Object storage</w:t>
            </w:r>
          </w:p>
        </w:tc>
        <w:tc>
          <w:tcPr>
            <w:tcW w:type="dxa" w:w="3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AWS S3</w:t>
            </w:r>
          </w:p>
        </w:tc>
        <w:tc>
          <w:tcPr>
            <w:tcW w:type="dxa" w:w="40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Execution logs and working directory artefacts</w:t>
            </w:r>
          </w:p>
        </w:tc>
      </w:tr>
      <w:tr>
        <w:tc>
          <w:tcPr>
            <w:tcW w:type="dxa" w:w="2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Review UI</w:t>
            </w:r>
          </w:p>
        </w:tc>
        <w:tc>
          <w:tcPr>
            <w:tcW w:type="dxa" w:w="3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React front end over FastAPI</w:t>
            </w:r>
          </w:p>
        </w:tc>
        <w:tc>
          <w:tcPr>
            <w:tcW w:type="dxa" w:w="40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Consistent with existing dashboard stack</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Identity</w:t>
            </w:r>
          </w:p>
        </w:tc>
        <w:tc>
          <w:tcPr>
            <w:tcW w:type="dxa" w:w="3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JWT via OpenAM, DSP token translation</w:t>
            </w:r>
          </w:p>
        </w:tc>
        <w:tc>
          <w:tcPr>
            <w:tcW w:type="dxa" w:w="40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Auto-refresh background task</w:t>
            </w:r>
          </w:p>
        </w:tc>
      </w:tr>
      <w:tr>
        <w:tc>
          <w:tcPr>
            <w:tcW w:type="dxa" w:w="2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Ticketing</w:t>
            </w:r>
          </w:p>
        </w:tc>
        <w:tc>
          <w:tcPr>
            <w:tcW w:type="dxa" w:w="3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Jira REST API</w:t>
            </w:r>
          </w:p>
        </w:tc>
        <w:tc>
          <w:tcPr>
            <w:tcW w:type="dxa" w:w="40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L2 support queue</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Secrets</w:t>
            </w:r>
          </w:p>
        </w:tc>
        <w:tc>
          <w:tcPr>
            <w:tcW w:type="dxa" w:w="3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Approved secrets manager</w:t>
            </w:r>
          </w:p>
        </w:tc>
        <w:tc>
          <w:tcPr>
            <w:tcW w:type="dxa" w:w="40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No credentials in code, config or prompts</w:t>
            </w:r>
          </w:p>
        </w:tc>
      </w:tr>
    </w:tbl>
    <w:p>
      <w:r>
        <w:br w:type="page"/>
      </w:r>
    </w:p>
    <w:p>
      <w:pPr>
        <w:pStyle w:val="Heading1"/>
        <w:spacing w:after="140" w:before="320"/>
      </w:pPr>
      <w:r>
        <w:rPr>
          <w:rFonts w:ascii="Calibri" w:cs="Calibri" w:eastAsia="Calibri" w:hAnsi="Calibri"/>
          <w:b/>
          <w:bCs/>
          <w:color w:val="000000"/>
          <w:sz w:val="28"/>
          <w:szCs w:val="28"/>
        </w:rPr>
        <w:t xml:space="preserve">3. Data Model</w:t>
      </w:r>
    </w:p>
    <w:p>
      <w:pPr>
        <w:pStyle w:val="Heading2"/>
        <w:spacing w:after="100" w:before="240"/>
      </w:pPr>
      <w:r>
        <w:rPr>
          <w:rFonts w:ascii="Calibri" w:cs="Calibri" w:eastAsia="Calibri" w:hAnsi="Calibri"/>
          <w:b/>
          <w:bCs/>
          <w:color w:val="000000"/>
          <w:sz w:val="24"/>
          <w:szCs w:val="24"/>
        </w:rPr>
        <w:t xml:space="preserve">3.1 Incident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680"/>
      </w:tblGrid>
      <w:tr>
        <w:tc>
          <w:tcPr>
            <w:tcW w:type="dxa" w:w="26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Field</w:t>
            </w:r>
          </w:p>
        </w:tc>
        <w:tc>
          <w:tcPr>
            <w:tcW w:type="dxa" w:w="18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Type</w:t>
            </w:r>
          </w:p>
        </w:tc>
        <w:tc>
          <w:tcPr>
            <w:tcW w:type="dxa" w:w="568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Description</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incident_id</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UUID</w:t>
            </w:r>
          </w:p>
        </w:tc>
        <w:tc>
          <w:tcPr>
            <w:tcW w:type="dxa" w:w="5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Primary key, generated at ingestion</w:t>
            </w:r>
          </w:p>
        </w:tc>
      </w:tr>
      <w:tr>
        <w:tc>
          <w:tcPr>
            <w:tcW w:type="dxa" w:w="2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bot_id / job_run_id</w:t>
            </w:r>
          </w:p>
        </w:tc>
        <w:tc>
          <w:tcPr>
            <w:tcW w:type="dxa" w:w="18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String</w:t>
            </w:r>
          </w:p>
        </w:tc>
        <w:tc>
          <w:tcPr>
            <w:tcW w:type="dxa" w:w="5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Genie Bot identifiers from the log path and header</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user_id</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String</w:t>
            </w:r>
          </w:p>
        </w:tc>
        <w:tc>
          <w:tcPr>
            <w:tcW w:type="dxa" w:w="5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End user who ran the bot</w:t>
            </w:r>
          </w:p>
        </w:tc>
      </w:tr>
      <w:tr>
        <w:tc>
          <w:tcPr>
            <w:tcW w:type="dxa" w:w="2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environment</w:t>
            </w:r>
          </w:p>
        </w:tc>
        <w:tc>
          <w:tcPr>
            <w:tcW w:type="dxa" w:w="18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Enum</w:t>
            </w:r>
          </w:p>
        </w:tc>
        <w:tc>
          <w:tcPr>
            <w:tcW w:type="dxa" w:w="5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Production, UAT or development</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log_s3_uri</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String</w:t>
            </w:r>
          </w:p>
        </w:tc>
        <w:tc>
          <w:tcPr>
            <w:tcW w:type="dxa" w:w="5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Source execution log location</w:t>
            </w:r>
          </w:p>
        </w:tc>
      </w:tr>
      <w:tr>
        <w:tc>
          <w:tcPr>
            <w:tcW w:type="dxa" w:w="2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ingested_at</w:t>
            </w:r>
          </w:p>
        </w:tc>
        <w:tc>
          <w:tcPr>
            <w:tcW w:type="dxa" w:w="18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Timestamp</w:t>
            </w:r>
          </w:p>
        </w:tc>
        <w:tc>
          <w:tcPr>
            <w:tcW w:type="dxa" w:w="5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Pipeline entry time for latency measurement</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status</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Enum</w:t>
            </w:r>
          </w:p>
        </w:tc>
        <w:tc>
          <w:tcPr>
            <w:tcW w:type="dxa" w:w="5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See state machine in 3.2</w:t>
            </w:r>
          </w:p>
        </w:tc>
      </w:tr>
      <w:tr>
        <w:tc>
          <w:tcPr>
            <w:tcW w:type="dxa" w:w="2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error_signature_id</w:t>
            </w:r>
          </w:p>
        </w:tc>
        <w:tc>
          <w:tcPr>
            <w:tcW w:type="dxa" w:w="18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String</w:t>
            </w:r>
          </w:p>
        </w:tc>
        <w:tc>
          <w:tcPr>
            <w:tcW w:type="dxa" w:w="5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Hash of normalised exception type plus failing module</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parse_output</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JSON</w:t>
            </w:r>
          </w:p>
        </w:tc>
        <w:tc>
          <w:tcPr>
            <w:tcW w:type="dxa" w:w="5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Structured output of the Log Parser Agent</w:t>
            </w:r>
          </w:p>
        </w:tc>
      </w:tr>
      <w:tr>
        <w:tc>
          <w:tcPr>
            <w:tcW w:type="dxa" w:w="2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diagnosis</w:t>
            </w:r>
          </w:p>
        </w:tc>
        <w:tc>
          <w:tcPr>
            <w:tcW w:type="dxa" w:w="18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JSON</w:t>
            </w:r>
          </w:p>
        </w:tc>
        <w:tc>
          <w:tcPr>
            <w:tcW w:type="dxa" w:w="5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Root cause, proposed resolution, citations, confidence</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template_payload</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JSON</w:t>
            </w:r>
          </w:p>
        </w:tc>
        <w:tc>
          <w:tcPr>
            <w:tcW w:type="dxa" w:w="5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Pre-filled escalation template fields</w:t>
            </w:r>
          </w:p>
        </w:tc>
      </w:tr>
      <w:tr>
        <w:tc>
          <w:tcPr>
            <w:tcW w:type="dxa" w:w="2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reviewer_id / decision</w:t>
            </w:r>
          </w:p>
        </w:tc>
        <w:tc>
          <w:tcPr>
            <w:tcW w:type="dxa" w:w="18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String / Enum</w:t>
            </w:r>
          </w:p>
        </w:tc>
        <w:tc>
          <w:tcPr>
            <w:tcW w:type="dxa" w:w="5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Human-in-the-loop outcome</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jira_key</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String</w:t>
            </w:r>
          </w:p>
        </w:tc>
        <w:tc>
          <w:tcPr>
            <w:tcW w:type="dxa" w:w="5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Created or linked Jira issue key</w:t>
            </w:r>
          </w:p>
        </w:tc>
      </w:tr>
      <w:tr>
        <w:tc>
          <w:tcPr>
            <w:tcW w:type="dxa" w:w="2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token_cost_usd</w:t>
            </w:r>
          </w:p>
        </w:tc>
        <w:tc>
          <w:tcPr>
            <w:tcW w:type="dxa" w:w="18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Decimal</w:t>
            </w:r>
          </w:p>
        </w:tc>
        <w:tc>
          <w:tcPr>
            <w:tcW w:type="dxa" w:w="5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Aggregate model cost for the incident</w:t>
            </w:r>
          </w:p>
        </w:tc>
      </w:tr>
    </w:tbl>
    <w:p>
      <w:pPr>
        <w:pStyle w:val="Heading2"/>
        <w:spacing w:after="100" w:before="240"/>
      </w:pPr>
      <w:r>
        <w:rPr>
          <w:rFonts w:ascii="Calibri" w:cs="Calibri" w:eastAsia="Calibri" w:hAnsi="Calibri"/>
          <w:b/>
          <w:bCs/>
          <w:color w:val="000000"/>
          <w:sz w:val="24"/>
          <w:szCs w:val="24"/>
        </w:rPr>
        <w:t xml:space="preserve">3.2 Incident State Machine</w:t>
      </w:r>
    </w:p>
    <w:p>
      <w:pPr>
        <w:spacing w:after="140"/>
      </w:pPr>
      <w:r>
        <w:rPr>
          <w:rFonts w:ascii="Calibri" w:cs="Calibri" w:eastAsia="Calibri" w:hAnsi="Calibri"/>
          <w:color w:val="000000"/>
          <w:sz w:val="22"/>
          <w:szCs w:val="22"/>
        </w:rPr>
        <w:t xml:space="preserve">INGESTED to SCREENED to PARSED to DIAGNOSED to (AUTO_RESOLVE_CANDIDATE or ESCALATION_DRAFTED) to AWAITING_REVIEW to (SUBMITTED or REJECTED or RERUN_APPROVED) to CLOSED. Terminal failure states: BLOCKED_BY_GUARDRAIL, UNPARSEABLE and PLATFORM_UNAVAILABLE, each routing to MANUAL_FALLBACK.</w:t>
      </w:r>
    </w:p>
    <w:p>
      <w:pPr>
        <w:pStyle w:val="Heading2"/>
        <w:spacing w:after="100" w:before="240"/>
      </w:pPr>
      <w:r>
        <w:rPr>
          <w:rFonts w:ascii="Calibri" w:cs="Calibri" w:eastAsia="Calibri" w:hAnsi="Calibri"/>
          <w:b/>
          <w:bCs/>
          <w:color w:val="000000"/>
          <w:sz w:val="24"/>
          <w:szCs w:val="24"/>
        </w:rPr>
        <w:t xml:space="preserve">3.3 Knowledge Base Chunk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680"/>
      </w:tblGrid>
      <w:tr>
        <w:tc>
          <w:tcPr>
            <w:tcW w:type="dxa" w:w="26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Field</w:t>
            </w:r>
          </w:p>
        </w:tc>
        <w:tc>
          <w:tcPr>
            <w:tcW w:type="dxa" w:w="18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Type</w:t>
            </w:r>
          </w:p>
        </w:tc>
        <w:tc>
          <w:tcPr>
            <w:tcW w:type="dxa" w:w="568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Description</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chunk_id</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UUID</w:t>
            </w:r>
          </w:p>
        </w:tc>
        <w:tc>
          <w:tcPr>
            <w:tcW w:type="dxa" w:w="5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Primary key</w:t>
            </w:r>
          </w:p>
        </w:tc>
      </w:tr>
      <w:tr>
        <w:tc>
          <w:tcPr>
            <w:tcW w:type="dxa" w:w="2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doc_id</w:t>
            </w:r>
          </w:p>
        </w:tc>
        <w:tc>
          <w:tcPr>
            <w:tcW w:type="dxa" w:w="18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UUID</w:t>
            </w:r>
          </w:p>
        </w:tc>
        <w:tc>
          <w:tcPr>
            <w:tcW w:type="dxa" w:w="5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Parent source document</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doc_type</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Enum</w:t>
            </w:r>
          </w:p>
        </w:tc>
        <w:tc>
          <w:tcPr>
            <w:tcW w:type="dxa" w:w="5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resolved_incident, sop, template, runbook</w:t>
            </w:r>
          </w:p>
        </w:tc>
      </w:tr>
      <w:tr>
        <w:tc>
          <w:tcPr>
            <w:tcW w:type="dxa" w:w="2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content</w:t>
            </w:r>
          </w:p>
        </w:tc>
        <w:tc>
          <w:tcPr>
            <w:tcW w:type="dxa" w:w="18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Text</w:t>
            </w:r>
          </w:p>
        </w:tc>
        <w:tc>
          <w:tcPr>
            <w:tcW w:type="dxa" w:w="5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Redacted chunk text that is embedded</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embedding</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Vector</w:t>
            </w:r>
          </w:p>
        </w:tc>
        <w:tc>
          <w:tcPr>
            <w:tcW w:type="dxa" w:w="5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text-embedding-small output</w:t>
            </w:r>
          </w:p>
        </w:tc>
      </w:tr>
      <w:tr>
        <w:tc>
          <w:tcPr>
            <w:tcW w:type="dxa" w:w="2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error_category</w:t>
            </w:r>
          </w:p>
        </w:tc>
        <w:tc>
          <w:tcPr>
            <w:tcW w:type="dxa" w:w="18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String</w:t>
            </w:r>
          </w:p>
        </w:tc>
        <w:tc>
          <w:tcPr>
            <w:tcW w:type="dxa" w:w="5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Taxonomy label for filtered retrieval</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source_ref</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String</w:t>
            </w:r>
          </w:p>
        </w:tc>
        <w:tc>
          <w:tcPr>
            <w:tcW w:type="dxa" w:w="5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Jira key, SOP identifier or template name</w:t>
            </w:r>
          </w:p>
        </w:tc>
      </w:tr>
      <w:tr>
        <w:tc>
          <w:tcPr>
            <w:tcW w:type="dxa" w:w="2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effective_from / retired_at</w:t>
            </w:r>
          </w:p>
        </w:tc>
        <w:tc>
          <w:tcPr>
            <w:tcW w:type="dxa" w:w="18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Timestamp</w:t>
            </w:r>
          </w:p>
        </w:tc>
        <w:tc>
          <w:tcPr>
            <w:tcW w:type="dxa" w:w="5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Supersession control; retired chunks excluded from retrieval</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classification</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Enum</w:t>
            </w:r>
          </w:p>
        </w:tc>
        <w:tc>
          <w:tcPr>
            <w:tcW w:type="dxa" w:w="5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Data classification outcome; only approved levels indexed</w:t>
            </w:r>
          </w:p>
        </w:tc>
      </w:tr>
      <w:tr>
        <w:tc>
          <w:tcPr>
            <w:tcW w:type="dxa" w:w="2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index_version</w:t>
            </w:r>
          </w:p>
        </w:tc>
        <w:tc>
          <w:tcPr>
            <w:tcW w:type="dxa" w:w="18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String</w:t>
            </w:r>
          </w:p>
        </w:tc>
        <w:tc>
          <w:tcPr>
            <w:tcW w:type="dxa" w:w="5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Enables versioned rebuild and rollback</w:t>
            </w:r>
          </w:p>
        </w:tc>
      </w:tr>
    </w:tbl>
    <w:p>
      <w:r>
        <w:br w:type="page"/>
      </w:r>
    </w:p>
    <w:p>
      <w:pPr>
        <w:pStyle w:val="Heading1"/>
        <w:spacing w:after="140" w:before="320"/>
      </w:pPr>
      <w:r>
        <w:rPr>
          <w:rFonts w:ascii="Calibri" w:cs="Calibri" w:eastAsia="Calibri" w:hAnsi="Calibri"/>
          <w:b/>
          <w:bCs/>
          <w:color w:val="000000"/>
          <w:sz w:val="28"/>
          <w:szCs w:val="28"/>
        </w:rPr>
        <w:t xml:space="preserve">4. Knowledge Base Creation</w:t>
      </w:r>
    </w:p>
    <w:p>
      <w:pPr>
        <w:spacing w:after="140"/>
      </w:pPr>
      <w:r>
        <w:rPr>
          <w:rFonts w:ascii="Calibri" w:cs="Calibri" w:eastAsia="Calibri" w:hAnsi="Calibri"/>
          <w:color w:val="000000"/>
          <w:sz w:val="22"/>
          <w:szCs w:val="22"/>
        </w:rPr>
        <w:t xml:space="preserve">The knowledge base is the component that determines diagnosis quality. It is built once as an initial corpus and then maintained continuously by the feedback loop. Both paths use the same ingestion pipeline so that content is treated identically regardless of origin.</w:t>
      </w:r>
    </w:p>
    <w:p>
      <w:pPr>
        <w:pStyle w:val="Heading2"/>
        <w:spacing w:after="100" w:before="240"/>
      </w:pPr>
      <w:r>
        <w:rPr>
          <w:rFonts w:ascii="Calibri" w:cs="Calibri" w:eastAsia="Calibri" w:hAnsi="Calibri"/>
          <w:b/>
          <w:bCs/>
          <w:color w:val="000000"/>
          <w:sz w:val="24"/>
          <w:szCs w:val="24"/>
        </w:rPr>
        <w:t xml:space="preserve">4.1 Source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680"/>
      </w:tblGrid>
      <w:tr>
        <w:tc>
          <w:tcPr>
            <w:tcW w:type="dxa" w:w="28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Source</w:t>
            </w:r>
          </w:p>
        </w:tc>
        <w:tc>
          <w:tcPr>
            <w:tcW w:type="dxa" w:w="26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Content</w:t>
            </w:r>
          </w:p>
        </w:tc>
        <w:tc>
          <w:tcPr>
            <w:tcW w:type="dxa" w:w="468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Expected Use</w:t>
            </w:r>
          </w:p>
        </w:tc>
      </w:tr>
      <w:tr>
        <w:tc>
          <w:tcPr>
            <w:tcW w:type="dxa" w:w="2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Historical Jira tickets</w:t>
            </w:r>
          </w:p>
        </w:tc>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Closed Genie Bot support issues with resolutions</w:t>
            </w:r>
          </w:p>
        </w:tc>
        <w:tc>
          <w:tcPr>
            <w:tcW w:type="dxa" w:w="4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Primary diagnosis precedent</w:t>
            </w:r>
          </w:p>
        </w:tc>
      </w:tr>
      <w:tr>
        <w:tc>
          <w:tcPr>
            <w:tcW w:type="dxa" w:w="28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Genie Support Mailbox archive</w:t>
            </w:r>
          </w:p>
        </w:tc>
        <w:tc>
          <w:tcPr>
            <w:tcW w:type="dxa" w:w="2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Historical support templates and email threads</w:t>
            </w:r>
          </w:p>
        </w:tc>
        <w:tc>
          <w:tcPr>
            <w:tcW w:type="dxa" w:w="4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Template precedent and phrasing</w:t>
            </w:r>
          </w:p>
        </w:tc>
      </w:tr>
      <w:tr>
        <w:tc>
          <w:tcPr>
            <w:tcW w:type="dxa" w:w="2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Existing SOPs and runbooks</w:t>
            </w:r>
          </w:p>
        </w:tc>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Documented operational procedures</w:t>
            </w:r>
          </w:p>
        </w:tc>
        <w:tc>
          <w:tcPr>
            <w:tcW w:type="dxa" w:w="4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Authoritative resolution steps</w:t>
            </w:r>
          </w:p>
        </w:tc>
      </w:tr>
      <w:tr>
        <w:tc>
          <w:tcPr>
            <w:tcW w:type="dxa" w:w="28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Known error catalogue</w:t>
            </w:r>
          </w:p>
        </w:tc>
        <w:tc>
          <w:tcPr>
            <w:tcW w:type="dxa" w:w="2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Exception to root cause mappings</w:t>
            </w:r>
          </w:p>
        </w:tc>
        <w:tc>
          <w:tcPr>
            <w:tcW w:type="dxa" w:w="4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Deterministic hints for common failures</w:t>
            </w:r>
          </w:p>
        </w:tc>
      </w:tr>
      <w:tr>
        <w:tc>
          <w:tcPr>
            <w:tcW w:type="dxa" w:w="2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Historical execution logs</w:t>
            </w:r>
          </w:p>
        </w:tc>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Representative stack traces per error class</w:t>
            </w:r>
          </w:p>
        </w:tc>
        <w:tc>
          <w:tcPr>
            <w:tcW w:type="dxa" w:w="4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Signature matching examples</w:t>
            </w:r>
          </w:p>
        </w:tc>
      </w:tr>
    </w:tbl>
    <w:p>
      <w:pPr>
        <w:pStyle w:val="Heading2"/>
        <w:spacing w:after="100" w:before="240"/>
      </w:pPr>
      <w:r>
        <w:rPr>
          <w:rFonts w:ascii="Calibri" w:cs="Calibri" w:eastAsia="Calibri" w:hAnsi="Calibri"/>
          <w:b/>
          <w:bCs/>
          <w:color w:val="000000"/>
          <w:sz w:val="24"/>
          <w:szCs w:val="24"/>
        </w:rPr>
        <w:t xml:space="preserve">4.2 Build Pipeline</w:t>
      </w:r>
    </w:p>
    <w:p>
      <w:pPr>
        <w:spacing w:after="60"/>
        <w:ind w:left="420"/>
      </w:pPr>
      <w:r>
        <w:rPr>
          <w:rFonts w:ascii="Calibri" w:cs="Calibri" w:eastAsia="Calibri" w:hAnsi="Calibri"/>
          <w:color w:val="000000"/>
          <w:sz w:val="21"/>
          <w:szCs w:val="21"/>
        </w:rPr>
        <w:t xml:space="preserve">1. Extract: pull source records via Jira API, mailbox export, document repository and S3 log samples into a staging area.</w:t>
      </w:r>
    </w:p>
    <w:p>
      <w:pPr>
        <w:spacing w:after="60"/>
        <w:ind w:left="420"/>
      </w:pPr>
      <w:r>
        <w:rPr>
          <w:rFonts w:ascii="Calibri" w:cs="Calibri" w:eastAsia="Calibri" w:hAnsi="Calibri"/>
          <w:color w:val="000000"/>
          <w:sz w:val="21"/>
          <w:szCs w:val="21"/>
        </w:rPr>
        <w:t xml:space="preserve">2. Normalise: convert each source to a common document envelope with doc_type, source_ref, timestamps and raw text.</w:t>
      </w:r>
    </w:p>
    <w:p>
      <w:pPr>
        <w:spacing w:after="60"/>
        <w:ind w:left="420"/>
      </w:pPr>
      <w:r>
        <w:rPr>
          <w:rFonts w:ascii="Calibri" w:cs="Calibri" w:eastAsia="Calibri" w:hAnsi="Calibri"/>
          <w:color w:val="000000"/>
          <w:sz w:val="21"/>
          <w:szCs w:val="21"/>
        </w:rPr>
        <w:t xml:space="preserve">3. Redact: apply the same redaction engine used at runtime — credentials, connection strings, account identifiers and personal data removed before any further processing.</w:t>
      </w:r>
    </w:p>
    <w:p>
      <w:pPr>
        <w:spacing w:after="60"/>
        <w:ind w:left="420"/>
      </w:pPr>
      <w:r>
        <w:rPr>
          <w:rFonts w:ascii="Calibri" w:cs="Calibri" w:eastAsia="Calibri" w:hAnsi="Calibri"/>
          <w:color w:val="000000"/>
          <w:sz w:val="21"/>
          <w:szCs w:val="21"/>
        </w:rPr>
        <w:t xml:space="preserve">4. Classify: run data classification; documents above the approved sensitivity threshold are excluded and logged as excluded, not silently dropped.</w:t>
      </w:r>
    </w:p>
    <w:p>
      <w:pPr>
        <w:spacing w:after="60"/>
        <w:ind w:left="420"/>
      </w:pPr>
      <w:r>
        <w:rPr>
          <w:rFonts w:ascii="Calibri" w:cs="Calibri" w:eastAsia="Calibri" w:hAnsi="Calibri"/>
          <w:color w:val="000000"/>
          <w:sz w:val="21"/>
          <w:szCs w:val="21"/>
        </w:rPr>
        <w:t xml:space="preserve">5. Deduplicate: hash-based exact match plus fuzzy similarity to remove repeated tickets and forwarded email chains.</w:t>
      </w:r>
    </w:p>
    <w:p>
      <w:pPr>
        <w:spacing w:after="60"/>
        <w:ind w:left="420"/>
      </w:pPr>
      <w:r>
        <w:rPr>
          <w:rFonts w:ascii="Calibri" w:cs="Calibri" w:eastAsia="Calibri" w:hAnsi="Calibri"/>
          <w:color w:val="000000"/>
          <w:sz w:val="21"/>
          <w:szCs w:val="21"/>
        </w:rPr>
        <w:t xml:space="preserve">6. Curate: subject matter review of a sample to confirm resolutions are correct and current; incorrect or obsolete records are marked retired rather than deleted.</w:t>
      </w:r>
    </w:p>
    <w:p>
      <w:pPr>
        <w:spacing w:after="60"/>
        <w:ind w:left="420"/>
      </w:pPr>
      <w:r>
        <w:rPr>
          <w:rFonts w:ascii="Calibri" w:cs="Calibri" w:eastAsia="Calibri" w:hAnsi="Calibri"/>
          <w:color w:val="000000"/>
          <w:sz w:val="21"/>
          <w:szCs w:val="21"/>
        </w:rPr>
        <w:t xml:space="preserve">7. Label: assign error_category from the agreed taxonomy, enabling category-filtered retrieval and staged rollout.</w:t>
      </w:r>
    </w:p>
    <w:p>
      <w:pPr>
        <w:spacing w:after="60"/>
        <w:ind w:left="420"/>
      </w:pPr>
      <w:r>
        <w:rPr>
          <w:rFonts w:ascii="Calibri" w:cs="Calibri" w:eastAsia="Calibri" w:hAnsi="Calibri"/>
          <w:color w:val="000000"/>
          <w:sz w:val="21"/>
          <w:szCs w:val="21"/>
        </w:rPr>
        <w:t xml:space="preserve">8. Chunk: split by semantic boundary — problem statement, diagnosis, resolution steps — rather than fixed character windows, preserving one coherent idea per chunk.</w:t>
      </w:r>
    </w:p>
    <w:p>
      <w:pPr>
        <w:spacing w:after="60"/>
        <w:ind w:left="420"/>
      </w:pPr>
      <w:r>
        <w:rPr>
          <w:rFonts w:ascii="Calibri" w:cs="Calibri" w:eastAsia="Calibri" w:hAnsi="Calibri"/>
          <w:color w:val="000000"/>
          <w:sz w:val="21"/>
          <w:szCs w:val="21"/>
        </w:rPr>
        <w:t xml:space="preserve">9. Embed: generate vectors with text-embedding-small; batch requests to control cost and rate limits.</w:t>
      </w:r>
    </w:p>
    <w:p>
      <w:pPr>
        <w:spacing w:after="60"/>
        <w:ind w:left="420"/>
      </w:pPr>
      <w:r>
        <w:rPr>
          <w:rFonts w:ascii="Calibri" w:cs="Calibri" w:eastAsia="Calibri" w:hAnsi="Calibri"/>
          <w:color w:val="000000"/>
          <w:sz w:val="21"/>
          <w:szCs w:val="21"/>
        </w:rPr>
        <w:t xml:space="preserve">10. Index: upsert chunks with metadata into the vector store under a new index_version.</w:t>
      </w:r>
    </w:p>
    <w:p>
      <w:pPr>
        <w:spacing w:after="60"/>
        <w:ind w:left="420"/>
      </w:pPr>
      <w:r>
        <w:rPr>
          <w:rFonts w:ascii="Calibri" w:cs="Calibri" w:eastAsia="Calibri" w:hAnsi="Calibri"/>
          <w:color w:val="000000"/>
          <w:sz w:val="21"/>
          <w:szCs w:val="21"/>
        </w:rPr>
        <w:t xml:space="preserve">11. Evaluate: run the retrieval evaluation set against the new index; promote only if recall and precision meet or exceed the current index.</w:t>
      </w:r>
    </w:p>
    <w:p>
      <w:pPr>
        <w:spacing w:after="60"/>
        <w:ind w:left="420"/>
      </w:pPr>
      <w:r>
        <w:rPr>
          <w:rFonts w:ascii="Calibri" w:cs="Calibri" w:eastAsia="Calibri" w:hAnsi="Calibri"/>
          <w:color w:val="000000"/>
          <w:sz w:val="21"/>
          <w:szCs w:val="21"/>
        </w:rPr>
        <w:t xml:space="preserve">12. Promote or roll back: switch the active index pointer on success; retain the previous version for rollback.</w:t>
      </w:r>
    </w:p>
    <w:p>
      <w:pPr>
        <w:pStyle w:val="Heading2"/>
        <w:spacing w:after="100" w:before="240"/>
      </w:pPr>
      <w:r>
        <w:rPr>
          <w:rFonts w:ascii="Calibri" w:cs="Calibri" w:eastAsia="Calibri" w:hAnsi="Calibri"/>
          <w:b/>
          <w:bCs/>
          <w:color w:val="000000"/>
          <w:sz w:val="24"/>
          <w:szCs w:val="24"/>
        </w:rPr>
        <w:t xml:space="preserve">4.3 Chunking Guidance</w:t>
      </w:r>
    </w:p>
    <w:p>
      <w:pPr>
        <w:pStyle w:val="ListParagraph"/>
        <w:numPr>
          <w:ilvl w:val="0"/>
          <w:numId w:val="1"/>
        </w:numPr>
        <w:spacing w:after="60"/>
      </w:pPr>
      <w:r>
        <w:rPr>
          <w:rFonts w:ascii="Calibri" w:cs="Calibri" w:eastAsia="Calibri" w:hAnsi="Calibri"/>
          <w:color w:val="000000"/>
          <w:sz w:val="21"/>
          <w:szCs w:val="21"/>
        </w:rPr>
        <w:t xml:space="preserve">One chunk should answer one question — what failed, why it failed, or how it was fixed.</w:t>
      </w:r>
    </w:p>
    <w:p>
      <w:pPr>
        <w:pStyle w:val="ListParagraph"/>
        <w:numPr>
          <w:ilvl w:val="0"/>
          <w:numId w:val="1"/>
        </w:numPr>
        <w:spacing w:after="60"/>
      </w:pPr>
      <w:r>
        <w:rPr>
          <w:rFonts w:ascii="Calibri" w:cs="Calibri" w:eastAsia="Calibri" w:hAnsi="Calibri"/>
          <w:color w:val="000000"/>
          <w:sz w:val="21"/>
          <w:szCs w:val="21"/>
        </w:rPr>
        <w:t xml:space="preserve">Keep the exception signature in the same chunk as its resolution so retrieval returns actionable content.</w:t>
      </w:r>
    </w:p>
    <w:p>
      <w:pPr>
        <w:pStyle w:val="ListParagraph"/>
        <w:numPr>
          <w:ilvl w:val="0"/>
          <w:numId w:val="1"/>
        </w:numPr>
        <w:spacing w:after="60"/>
      </w:pPr>
      <w:r>
        <w:rPr>
          <w:rFonts w:ascii="Calibri" w:cs="Calibri" w:eastAsia="Calibri" w:hAnsi="Calibri"/>
          <w:color w:val="000000"/>
          <w:sz w:val="21"/>
          <w:szCs w:val="21"/>
        </w:rPr>
        <w:t xml:space="preserve">Retain a short parent-document summary in each chunk's metadata to preserve context when a chunk is retrieved alone.</w:t>
      </w:r>
    </w:p>
    <w:p>
      <w:pPr>
        <w:pStyle w:val="ListParagraph"/>
        <w:numPr>
          <w:ilvl w:val="0"/>
          <w:numId w:val="1"/>
        </w:numPr>
        <w:spacing w:after="60"/>
      </w:pPr>
      <w:r>
        <w:rPr>
          <w:rFonts w:ascii="Calibri" w:cs="Calibri" w:eastAsia="Calibri" w:hAnsi="Calibri"/>
          <w:color w:val="000000"/>
          <w:sz w:val="21"/>
          <w:szCs w:val="21"/>
        </w:rPr>
        <w:t xml:space="preserve">Avoid chunking mid stack trace; truncate long traces to the distinctive frames rather than splitting them.</w:t>
      </w:r>
    </w:p>
    <w:p>
      <w:pPr>
        <w:pStyle w:val="Heading2"/>
        <w:spacing w:after="100" w:before="240"/>
      </w:pPr>
      <w:r>
        <w:rPr>
          <w:rFonts w:ascii="Calibri" w:cs="Calibri" w:eastAsia="Calibri" w:hAnsi="Calibri"/>
          <w:b/>
          <w:bCs/>
          <w:color w:val="000000"/>
          <w:sz w:val="24"/>
          <w:szCs w:val="24"/>
        </w:rPr>
        <w:t xml:space="preserve">4.4 Retrieval Design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Aspect</w:t>
            </w:r>
          </w:p>
        </w:tc>
        <w:tc>
          <w:tcPr>
            <w:tcW w:type="dxa" w:w="728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Design</w:t>
            </w:r>
          </w:p>
        </w:tc>
      </w:tr>
      <w:tr>
        <w:tc>
          <w:tcPr>
            <w:tcW w:type="dxa" w:w="2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Query construction</w:t>
            </w:r>
          </w:p>
        </w:tc>
        <w:tc>
          <w:tcPr>
            <w:tcW w:type="dxa" w:w="72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Embed the normalised error signature plus failing module, not the raw log</w:t>
            </w:r>
          </w:p>
        </w:tc>
      </w:tr>
      <w:tr>
        <w:tc>
          <w:tcPr>
            <w:tcW w:type="dxa" w:w="28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Filtering</w:t>
            </w:r>
          </w:p>
        </w:tc>
        <w:tc>
          <w:tcPr>
            <w:tcW w:type="dxa" w:w="72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Restrict by error_category and environment where known; exclude retired chunks</w:t>
            </w:r>
          </w:p>
        </w:tc>
      </w:tr>
      <w:tr>
        <w:tc>
          <w:tcPr>
            <w:tcW w:type="dxa" w:w="2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Top-N</w:t>
            </w:r>
          </w:p>
        </w:tc>
        <w:tc>
          <w:tcPr>
            <w:tcW w:type="dxa" w:w="72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Configurable; tuned during calibration against the evaluation set</w:t>
            </w:r>
          </w:p>
        </w:tc>
      </w:tr>
      <w:tr>
        <w:tc>
          <w:tcPr>
            <w:tcW w:type="dxa" w:w="28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Re-ranking</w:t>
            </w:r>
          </w:p>
        </w:tc>
        <w:tc>
          <w:tcPr>
            <w:tcW w:type="dxa" w:w="72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Prefer recent, higher-confidence resolutions where similarity scores are close</w:t>
            </w:r>
          </w:p>
        </w:tc>
      </w:tr>
      <w:tr>
        <w:tc>
          <w:tcPr>
            <w:tcW w:type="dxa" w:w="2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Return contract</w:t>
            </w:r>
          </w:p>
        </w:tc>
        <w:tc>
          <w:tcPr>
            <w:tcW w:type="dxa" w:w="72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Chunk text with source_ref and timestamp so the Diagnostic Agent can cite</w:t>
            </w:r>
          </w:p>
        </w:tc>
      </w:tr>
      <w:tr>
        <w:tc>
          <w:tcPr>
            <w:tcW w:type="dxa" w:w="28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Empty result handling</w:t>
            </w:r>
          </w:p>
        </w:tc>
        <w:tc>
          <w:tcPr>
            <w:tcW w:type="dxa" w:w="72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No qualifying match returns an explicit no-precedent signal, lowering confidence</w:t>
            </w:r>
          </w:p>
        </w:tc>
      </w:tr>
    </w:tbl>
    <w:p>
      <w:pPr>
        <w:pStyle w:val="Heading2"/>
        <w:spacing w:after="100" w:before="240"/>
      </w:pPr>
      <w:r>
        <w:rPr>
          <w:rFonts w:ascii="Calibri" w:cs="Calibri" w:eastAsia="Calibri" w:hAnsi="Calibri"/>
          <w:b/>
          <w:bCs/>
          <w:color w:val="000000"/>
          <w:sz w:val="24"/>
          <w:szCs w:val="24"/>
        </w:rPr>
        <w:t xml:space="preserve">4.5 Continuous Maintenance</w:t>
      </w:r>
    </w:p>
    <w:p>
      <w:pPr>
        <w:pStyle w:val="ListParagraph"/>
        <w:numPr>
          <w:ilvl w:val="0"/>
          <w:numId w:val="1"/>
        </w:numPr>
        <w:spacing w:after="60"/>
      </w:pPr>
      <w:r>
        <w:rPr>
          <w:rFonts w:ascii="Calibri" w:cs="Calibri" w:eastAsia="Calibri" w:hAnsi="Calibri"/>
          <w:color w:val="000000"/>
          <w:sz w:val="21"/>
          <w:szCs w:val="21"/>
        </w:rPr>
        <w:t xml:space="preserve">Closed Jira resolutions and reviewer edits are captured as new candidate documents.</w:t>
      </w:r>
    </w:p>
    <w:p>
      <w:pPr>
        <w:pStyle w:val="ListParagraph"/>
        <w:numPr>
          <w:ilvl w:val="0"/>
          <w:numId w:val="1"/>
        </w:numPr>
        <w:spacing w:after="60"/>
      </w:pPr>
      <w:r>
        <w:rPr>
          <w:rFonts w:ascii="Calibri" w:cs="Calibri" w:eastAsia="Calibri" w:hAnsi="Calibri"/>
          <w:color w:val="000000"/>
          <w:sz w:val="21"/>
          <w:szCs w:val="21"/>
        </w:rPr>
        <w:t xml:space="preserve">Recurring patterns trigger SOP draft generation, which requires human approval before indexing.</w:t>
      </w:r>
    </w:p>
    <w:p>
      <w:pPr>
        <w:pStyle w:val="ListParagraph"/>
        <w:numPr>
          <w:ilvl w:val="0"/>
          <w:numId w:val="1"/>
        </w:numPr>
        <w:spacing w:after="60"/>
      </w:pPr>
      <w:r>
        <w:rPr>
          <w:rFonts w:ascii="Calibri" w:cs="Calibri" w:eastAsia="Calibri" w:hAnsi="Calibri"/>
          <w:color w:val="000000"/>
          <w:sz w:val="21"/>
          <w:szCs w:val="21"/>
        </w:rPr>
        <w:t xml:space="preserve">Reviewer rejections are recorded as negative signal and used in evaluation, not indexed as guidance.</w:t>
      </w:r>
    </w:p>
    <w:p>
      <w:pPr>
        <w:pStyle w:val="ListParagraph"/>
        <w:numPr>
          <w:ilvl w:val="0"/>
          <w:numId w:val="1"/>
        </w:numPr>
        <w:spacing w:after="60"/>
      </w:pPr>
      <w:r>
        <w:rPr>
          <w:rFonts w:ascii="Calibri" w:cs="Calibri" w:eastAsia="Calibri" w:hAnsi="Calibri"/>
          <w:color w:val="000000"/>
          <w:sz w:val="21"/>
          <w:szCs w:val="21"/>
        </w:rPr>
        <w:t xml:space="preserve">Superseded SOPs are marked retired with retired_at set; retrieval excludes them without deleting history.</w:t>
      </w:r>
    </w:p>
    <w:p>
      <w:pPr>
        <w:pStyle w:val="ListParagraph"/>
        <w:numPr>
          <w:ilvl w:val="0"/>
          <w:numId w:val="1"/>
        </w:numPr>
        <w:spacing w:after="60"/>
      </w:pPr>
      <w:r>
        <w:rPr>
          <w:rFonts w:ascii="Calibri" w:cs="Calibri" w:eastAsia="Calibri" w:hAnsi="Calibri"/>
          <w:color w:val="000000"/>
          <w:sz w:val="21"/>
          <w:szCs w:val="21"/>
        </w:rPr>
        <w:t xml:space="preserve">Index rebuilds are versioned; a regression in evaluation metrics triggers rollback to the prior index_version.</w:t>
      </w:r>
    </w:p>
    <w:p>
      <w:pPr>
        <w:pStyle w:val="Heading2"/>
        <w:spacing w:after="100" w:before="240"/>
      </w:pPr>
      <w:r>
        <w:rPr>
          <w:rFonts w:ascii="Calibri" w:cs="Calibri" w:eastAsia="Calibri" w:hAnsi="Calibri"/>
          <w:b/>
          <w:bCs/>
          <w:color w:val="000000"/>
          <w:sz w:val="24"/>
          <w:szCs w:val="24"/>
        </w:rPr>
        <w:t xml:space="preserve">4.6 Knowledge Base Acceptance Criteria</w:t>
      </w:r>
    </w:p>
    <w:p>
      <w:pPr>
        <w:pStyle w:val="ListParagraph"/>
        <w:numPr>
          <w:ilvl w:val="0"/>
          <w:numId w:val="1"/>
        </w:numPr>
        <w:spacing w:after="60"/>
      </w:pPr>
      <w:r>
        <w:rPr>
          <w:rFonts w:ascii="Calibri" w:cs="Calibri" w:eastAsia="Calibri" w:hAnsi="Calibri"/>
          <w:color w:val="000000"/>
          <w:sz w:val="21"/>
          <w:szCs w:val="21"/>
        </w:rPr>
        <w:t xml:space="preserve">Initial corpus covers the agreed error taxonomy with a minimum number of validated examples per category.</w:t>
      </w:r>
    </w:p>
    <w:p>
      <w:pPr>
        <w:pStyle w:val="ListParagraph"/>
        <w:numPr>
          <w:ilvl w:val="0"/>
          <w:numId w:val="1"/>
        </w:numPr>
        <w:spacing w:after="60"/>
      </w:pPr>
      <w:r>
        <w:rPr>
          <w:rFonts w:ascii="Calibri" w:cs="Calibri" w:eastAsia="Calibri" w:hAnsi="Calibri"/>
          <w:color w:val="000000"/>
          <w:sz w:val="21"/>
          <w:szCs w:val="21"/>
        </w:rPr>
        <w:t xml:space="preserve">Zero unredacted credentials or personal data detected in a sampled audit of indexed chunks.</w:t>
      </w:r>
    </w:p>
    <w:p>
      <w:pPr>
        <w:pStyle w:val="ListParagraph"/>
        <w:numPr>
          <w:ilvl w:val="0"/>
          <w:numId w:val="1"/>
        </w:numPr>
        <w:spacing w:after="60"/>
      </w:pPr>
      <w:r>
        <w:rPr>
          <w:rFonts w:ascii="Calibri" w:cs="Calibri" w:eastAsia="Calibri" w:hAnsi="Calibri"/>
          <w:color w:val="000000"/>
          <w:sz w:val="21"/>
          <w:szCs w:val="21"/>
        </w:rPr>
        <w:t xml:space="preserve">Retrieval recall on the labelled evaluation set meets the threshold agreed at Phase 0.</w:t>
      </w:r>
    </w:p>
    <w:p>
      <w:pPr>
        <w:pStyle w:val="ListParagraph"/>
        <w:numPr>
          <w:ilvl w:val="0"/>
          <w:numId w:val="1"/>
        </w:numPr>
        <w:spacing w:after="60"/>
      </w:pPr>
      <w:r>
        <w:rPr>
          <w:rFonts w:ascii="Calibri" w:cs="Calibri" w:eastAsia="Calibri" w:hAnsi="Calibri"/>
          <w:color w:val="000000"/>
          <w:sz w:val="21"/>
          <w:szCs w:val="21"/>
        </w:rPr>
        <w:t xml:space="preserve">Every indexed chunk carries a resolvable source_ref for traceability.</w:t>
      </w:r>
    </w:p>
    <w:p>
      <w:r>
        <w:br w:type="page"/>
      </w:r>
    </w:p>
    <w:p>
      <w:pPr>
        <w:pStyle w:val="Heading1"/>
        <w:spacing w:after="140" w:before="320"/>
      </w:pPr>
      <w:r>
        <w:rPr>
          <w:rFonts w:ascii="Calibri" w:cs="Calibri" w:eastAsia="Calibri" w:hAnsi="Calibri"/>
          <w:b/>
          <w:bCs/>
          <w:color w:val="000000"/>
          <w:sz w:val="28"/>
          <w:szCs w:val="28"/>
        </w:rPr>
        <w:t xml:space="preserve">5. Agent Design</w:t>
      </w:r>
    </w:p>
    <w:p>
      <w:pPr>
        <w:pStyle w:val="Heading2"/>
        <w:spacing w:after="100" w:before="240"/>
      </w:pPr>
      <w:r>
        <w:rPr>
          <w:rFonts w:ascii="Calibri" w:cs="Calibri" w:eastAsia="Calibri" w:hAnsi="Calibri"/>
          <w:b/>
          <w:bCs/>
          <w:color w:val="000000"/>
          <w:sz w:val="24"/>
          <w:szCs w:val="24"/>
        </w:rPr>
        <w:t xml:space="preserve">5.1 Common Agent Contract</w:t>
      </w:r>
    </w:p>
    <w:p>
      <w:pPr>
        <w:pStyle w:val="ListParagraph"/>
        <w:numPr>
          <w:ilvl w:val="0"/>
          <w:numId w:val="1"/>
        </w:numPr>
        <w:spacing w:after="60"/>
      </w:pPr>
      <w:r>
        <w:rPr>
          <w:rFonts w:ascii="Calibri" w:cs="Calibri" w:eastAsia="Calibri" w:hAnsi="Calibri"/>
          <w:color w:val="000000"/>
          <w:sz w:val="21"/>
          <w:szCs w:val="21"/>
        </w:rPr>
        <w:t xml:space="preserve">Each agent receives a typed input object and returns a typed output object; free-form text is not passed between agents.</w:t>
      </w:r>
    </w:p>
    <w:p>
      <w:pPr>
        <w:pStyle w:val="ListParagraph"/>
        <w:numPr>
          <w:ilvl w:val="0"/>
          <w:numId w:val="1"/>
        </w:numPr>
        <w:spacing w:after="60"/>
      </w:pPr>
      <w:r>
        <w:rPr>
          <w:rFonts w:ascii="Calibri" w:cs="Calibri" w:eastAsia="Calibri" w:hAnsi="Calibri"/>
          <w:color w:val="000000"/>
          <w:sz w:val="21"/>
          <w:szCs w:val="21"/>
        </w:rPr>
        <w:t xml:space="preserve">Model responses are requested as strict JSON with no prose or code fences, then schema-validated before use.</w:t>
      </w:r>
    </w:p>
    <w:p>
      <w:pPr>
        <w:pStyle w:val="ListParagraph"/>
        <w:numPr>
          <w:ilvl w:val="0"/>
          <w:numId w:val="1"/>
        </w:numPr>
        <w:spacing w:after="60"/>
      </w:pPr>
      <w:r>
        <w:rPr>
          <w:rFonts w:ascii="Calibri" w:cs="Calibri" w:eastAsia="Calibri" w:hAnsi="Calibri"/>
          <w:color w:val="000000"/>
          <w:sz w:val="21"/>
          <w:szCs w:val="21"/>
        </w:rPr>
        <w:t xml:space="preserve">Schema validation failure triggers one bounded retry with a corrective instruction, then fails closed to manual.</w:t>
      </w:r>
    </w:p>
    <w:p>
      <w:pPr>
        <w:pStyle w:val="ListParagraph"/>
        <w:numPr>
          <w:ilvl w:val="0"/>
          <w:numId w:val="1"/>
        </w:numPr>
        <w:spacing w:after="60"/>
      </w:pPr>
      <w:r>
        <w:rPr>
          <w:rFonts w:ascii="Calibri" w:cs="Calibri" w:eastAsia="Calibri" w:hAnsi="Calibri"/>
          <w:color w:val="000000"/>
          <w:sz w:val="21"/>
          <w:szCs w:val="21"/>
        </w:rPr>
        <w:t xml:space="preserve">Every agent invocation records prompt version, model identifier, token counts and latency to the audit ledger.</w:t>
      </w:r>
    </w:p>
    <w:p>
      <w:pPr>
        <w:pStyle w:val="ListParagraph"/>
        <w:numPr>
          <w:ilvl w:val="0"/>
          <w:numId w:val="1"/>
        </w:numPr>
        <w:spacing w:after="60"/>
      </w:pPr>
      <w:r>
        <w:rPr>
          <w:rFonts w:ascii="Calibri" w:cs="Calibri" w:eastAsia="Calibri" w:hAnsi="Calibri"/>
          <w:color w:val="000000"/>
          <w:sz w:val="21"/>
          <w:szCs w:val="21"/>
        </w:rPr>
        <w:t xml:space="preserve">Temperature is set low for deterministic extraction and diagnosis tasks.</w:t>
      </w:r>
    </w:p>
    <w:p>
      <w:pPr>
        <w:pStyle w:val="Heading2"/>
        <w:spacing w:after="100" w:before="240"/>
      </w:pPr>
      <w:r>
        <w:rPr>
          <w:rFonts w:ascii="Calibri" w:cs="Calibri" w:eastAsia="Calibri" w:hAnsi="Calibri"/>
          <w:b/>
          <w:bCs/>
          <w:color w:val="000000"/>
          <w:sz w:val="24"/>
          <w:szCs w:val="24"/>
        </w:rPr>
        <w:t xml:space="preserve">5.2 Log Parser Agent</w:t>
      </w:r>
    </w:p>
    <w:p>
      <w:pPr>
        <w:spacing w:after="140"/>
      </w:pPr>
      <w:r>
        <w:rPr>
          <w:rFonts w:ascii="Calibri" w:cs="Calibri" w:eastAsia="Calibri" w:hAnsi="Calibri"/>
          <w:color w:val="000000"/>
          <w:sz w:val="22"/>
          <w:szCs w:val="22"/>
        </w:rPr>
        <w:t xml:space="preserve">Input: redacted log text and incident metadata. Output: structured error signature.</w:t>
      </w:r>
    </w:p>
    <w:p>
      <w:pPr>
        <w:shd w:fill="F2F2F2" w:val="clear"/>
        <w:spacing w:after="0"/>
        <w:ind w:left="300"/>
      </w:pPr>
      <w:r>
        <w:rPr>
          <w:rFonts w:ascii="Consolas" w:cs="Consolas" w:eastAsia="Consolas" w:hAnsi="Consolas"/>
          <w:color w:val="000000"/>
          <w:sz w:val="18"/>
          <w:szCs w:val="18"/>
        </w:rPr>
        <w:t xml:space="preserve">{</w:t>
      </w:r>
    </w:p>
    <w:p>
      <w:pPr>
        <w:shd w:fill="F2F2F2" w:val="clear"/>
        <w:spacing w:after="0"/>
        <w:ind w:left="300"/>
      </w:pPr>
      <w:r>
        <w:rPr>
          <w:rFonts w:ascii="Consolas" w:cs="Consolas" w:eastAsia="Consolas" w:hAnsi="Consolas"/>
          <w:color w:val="000000"/>
          <w:sz w:val="18"/>
          <w:szCs w:val="18"/>
        </w:rPr>
        <w:t xml:space="preserve">  "exception_type": "...",</w:t>
      </w:r>
    </w:p>
    <w:p>
      <w:pPr>
        <w:shd w:fill="F2F2F2" w:val="clear"/>
        <w:spacing w:after="0"/>
        <w:ind w:left="300"/>
      </w:pPr>
      <w:r>
        <w:rPr>
          <w:rFonts w:ascii="Consolas" w:cs="Consolas" w:eastAsia="Consolas" w:hAnsi="Consolas"/>
          <w:color w:val="000000"/>
          <w:sz w:val="18"/>
          <w:szCs w:val="18"/>
        </w:rPr>
        <w:t xml:space="preserve">  "exception_message": "...",</w:t>
      </w:r>
    </w:p>
    <w:p>
      <w:pPr>
        <w:shd w:fill="F2F2F2" w:val="clear"/>
        <w:spacing w:after="0"/>
        <w:ind w:left="300"/>
      </w:pPr>
      <w:r>
        <w:rPr>
          <w:rFonts w:ascii="Consolas" w:cs="Consolas" w:eastAsia="Consolas" w:hAnsi="Consolas"/>
          <w:color w:val="000000"/>
          <w:sz w:val="18"/>
          <w:szCs w:val="18"/>
        </w:rPr>
        <w:t xml:space="preserve">  "failing_module": "...",</w:t>
      </w:r>
    </w:p>
    <w:p>
      <w:pPr>
        <w:shd w:fill="F2F2F2" w:val="clear"/>
        <w:spacing w:after="0"/>
        <w:ind w:left="300"/>
      </w:pPr>
      <w:r>
        <w:rPr>
          <w:rFonts w:ascii="Consolas" w:cs="Consolas" w:eastAsia="Consolas" w:hAnsi="Consolas"/>
          <w:color w:val="000000"/>
          <w:sz w:val="18"/>
          <w:szCs w:val="18"/>
        </w:rPr>
        <w:t xml:space="preserve">  "root_frame": "...",</w:t>
      </w:r>
    </w:p>
    <w:p>
      <w:pPr>
        <w:shd w:fill="F2F2F2" w:val="clear"/>
        <w:spacing w:after="0"/>
        <w:ind w:left="300"/>
      </w:pPr>
      <w:r>
        <w:rPr>
          <w:rFonts w:ascii="Consolas" w:cs="Consolas" w:eastAsia="Consolas" w:hAnsi="Consolas"/>
          <w:color w:val="000000"/>
          <w:sz w:val="18"/>
          <w:szCs w:val="18"/>
        </w:rPr>
        <w:t xml:space="preserve">  "cascading_errors": ["..."],</w:t>
      </w:r>
    </w:p>
    <w:p>
      <w:pPr>
        <w:shd w:fill="F2F2F2" w:val="clear"/>
        <w:spacing w:after="0"/>
        <w:ind w:left="300"/>
      </w:pPr>
      <w:r>
        <w:rPr>
          <w:rFonts w:ascii="Consolas" w:cs="Consolas" w:eastAsia="Consolas" w:hAnsi="Consolas"/>
          <w:color w:val="000000"/>
          <w:sz w:val="18"/>
          <w:szCs w:val="18"/>
        </w:rPr>
        <w:t xml:space="preserve">  "evidence_lines": [{"line_no": 0, "text": "..."}],</w:t>
      </w:r>
    </w:p>
    <w:p>
      <w:pPr>
        <w:shd w:fill="F2F2F2" w:val="clear"/>
        <w:spacing w:after="0"/>
        <w:ind w:left="300"/>
      </w:pPr>
      <w:r>
        <w:rPr>
          <w:rFonts w:ascii="Consolas" w:cs="Consolas" w:eastAsia="Consolas" w:hAnsi="Consolas"/>
          <w:color w:val="000000"/>
          <w:sz w:val="18"/>
          <w:szCs w:val="18"/>
        </w:rPr>
        <w:t xml:space="preserve">  "parse_status": "parsed | unparseable"</w:t>
      </w:r>
    </w:p>
    <w:p>
      <w:pPr>
        <w:shd w:fill="F2F2F2" w:val="clear"/>
        <w:spacing w:after="140"/>
        <w:ind w:left="300"/>
      </w:pPr>
      <w:r>
        <w:rPr>
          <w:rFonts w:ascii="Consolas" w:cs="Consolas" w:eastAsia="Consolas" w:hAnsi="Consolas"/>
          <w:color w:val="000000"/>
          <w:sz w:val="18"/>
          <w:szCs w:val="18"/>
        </w:rPr>
        <w:t xml:space="preserve">}</w:t>
      </w:r>
    </w:p>
    <w:p>
      <w:pPr>
        <w:pStyle w:val="ListParagraph"/>
        <w:numPr>
          <w:ilvl w:val="0"/>
          <w:numId w:val="1"/>
        </w:numPr>
        <w:spacing w:after="60"/>
      </w:pPr>
      <w:r>
        <w:rPr>
          <w:rFonts w:ascii="Calibri" w:cs="Calibri" w:eastAsia="Calibri" w:hAnsi="Calibri"/>
          <w:color w:val="000000"/>
          <w:sz w:val="21"/>
          <w:szCs w:val="21"/>
        </w:rPr>
        <w:t xml:space="preserve">Must distinguish the root exception from downstream cascading failures.</w:t>
      </w:r>
    </w:p>
    <w:p>
      <w:pPr>
        <w:pStyle w:val="ListParagraph"/>
        <w:numPr>
          <w:ilvl w:val="0"/>
          <w:numId w:val="1"/>
        </w:numPr>
        <w:spacing w:after="60"/>
      </w:pPr>
      <w:r>
        <w:rPr>
          <w:rFonts w:ascii="Calibri" w:cs="Calibri" w:eastAsia="Calibri" w:hAnsi="Calibri"/>
          <w:color w:val="000000"/>
          <w:sz w:val="21"/>
          <w:szCs w:val="21"/>
        </w:rPr>
        <w:t xml:space="preserve">Must return evidence_lines for every populated field to enable grounding verification.</w:t>
      </w:r>
    </w:p>
    <w:p>
      <w:pPr>
        <w:pStyle w:val="ListParagraph"/>
        <w:numPr>
          <w:ilvl w:val="0"/>
          <w:numId w:val="1"/>
        </w:numPr>
        <w:spacing w:after="60"/>
      </w:pPr>
      <w:r>
        <w:rPr>
          <w:rFonts w:ascii="Calibri" w:cs="Calibri" w:eastAsia="Calibri" w:hAnsi="Calibri"/>
          <w:color w:val="000000"/>
          <w:sz w:val="21"/>
          <w:szCs w:val="21"/>
        </w:rPr>
        <w:t xml:space="preserve">Returns unparseable rather than guessing when no recognisable error signature is present.</w:t>
      </w:r>
    </w:p>
    <w:p>
      <w:pPr>
        <w:pStyle w:val="Heading2"/>
        <w:spacing w:after="100" w:before="240"/>
      </w:pPr>
      <w:r>
        <w:rPr>
          <w:rFonts w:ascii="Calibri" w:cs="Calibri" w:eastAsia="Calibri" w:hAnsi="Calibri"/>
          <w:b/>
          <w:bCs/>
          <w:color w:val="000000"/>
          <w:sz w:val="24"/>
          <w:szCs w:val="24"/>
        </w:rPr>
        <w:t xml:space="preserve">5.3 Diagnostic Agent (L1 Triage)</w:t>
      </w:r>
    </w:p>
    <w:p>
      <w:pPr>
        <w:spacing w:after="140"/>
      </w:pPr>
      <w:r>
        <w:rPr>
          <w:rFonts w:ascii="Calibri" w:cs="Calibri" w:eastAsia="Calibri" w:hAnsi="Calibri"/>
          <w:color w:val="000000"/>
          <w:sz w:val="22"/>
          <w:szCs w:val="22"/>
        </w:rPr>
        <w:t xml:space="preserve">Input: parse output plus retrieved KB chunks. Output: diagnosis with citations and confidence.</w:t>
      </w:r>
    </w:p>
    <w:p>
      <w:pPr>
        <w:shd w:fill="F2F2F2" w:val="clear"/>
        <w:spacing w:after="0"/>
        <w:ind w:left="300"/>
      </w:pPr>
      <w:r>
        <w:rPr>
          <w:rFonts w:ascii="Consolas" w:cs="Consolas" w:eastAsia="Consolas" w:hAnsi="Consolas"/>
          <w:color w:val="000000"/>
          <w:sz w:val="18"/>
          <w:szCs w:val="18"/>
        </w:rPr>
        <w:t xml:space="preserve">{</w:t>
      </w:r>
    </w:p>
    <w:p>
      <w:pPr>
        <w:shd w:fill="F2F2F2" w:val="clear"/>
        <w:spacing w:after="0"/>
        <w:ind w:left="300"/>
      </w:pPr>
      <w:r>
        <w:rPr>
          <w:rFonts w:ascii="Consolas" w:cs="Consolas" w:eastAsia="Consolas" w:hAnsi="Consolas"/>
          <w:color w:val="000000"/>
          <w:sz w:val="18"/>
          <w:szCs w:val="18"/>
        </w:rPr>
        <w:t xml:space="preserve">  "root_cause": "...",</w:t>
      </w:r>
    </w:p>
    <w:p>
      <w:pPr>
        <w:shd w:fill="F2F2F2" w:val="clear"/>
        <w:spacing w:after="0"/>
        <w:ind w:left="300"/>
      </w:pPr>
      <w:r>
        <w:rPr>
          <w:rFonts w:ascii="Consolas" w:cs="Consolas" w:eastAsia="Consolas" w:hAnsi="Consolas"/>
          <w:color w:val="000000"/>
          <w:sz w:val="18"/>
          <w:szCs w:val="18"/>
        </w:rPr>
        <w:t xml:space="preserve">  "proposed_resolution": "...",</w:t>
      </w:r>
    </w:p>
    <w:p>
      <w:pPr>
        <w:shd w:fill="F2F2F2" w:val="clear"/>
        <w:spacing w:after="0"/>
        <w:ind w:left="300"/>
      </w:pPr>
      <w:r>
        <w:rPr>
          <w:rFonts w:ascii="Consolas" w:cs="Consolas" w:eastAsia="Consolas" w:hAnsi="Consolas"/>
          <w:color w:val="000000"/>
          <w:sz w:val="18"/>
          <w:szCs w:val="18"/>
        </w:rPr>
        <w:t xml:space="preserve">  "resolution_type": "guidance | controlled_rerun | escalate",</w:t>
      </w:r>
    </w:p>
    <w:p>
      <w:pPr>
        <w:shd w:fill="F2F2F2" w:val="clear"/>
        <w:spacing w:after="0"/>
        <w:ind w:left="300"/>
      </w:pPr>
      <w:r>
        <w:rPr>
          <w:rFonts w:ascii="Consolas" w:cs="Consolas" w:eastAsia="Consolas" w:hAnsi="Consolas"/>
          <w:color w:val="000000"/>
          <w:sz w:val="18"/>
          <w:szCs w:val="18"/>
        </w:rPr>
        <w:t xml:space="preserve">  "rerun_parameters": {},</w:t>
      </w:r>
    </w:p>
    <w:p>
      <w:pPr>
        <w:shd w:fill="F2F2F2" w:val="clear"/>
        <w:spacing w:after="0"/>
        <w:ind w:left="300"/>
      </w:pPr>
      <w:r>
        <w:rPr>
          <w:rFonts w:ascii="Consolas" w:cs="Consolas" w:eastAsia="Consolas" w:hAnsi="Consolas"/>
          <w:color w:val="000000"/>
          <w:sz w:val="18"/>
          <w:szCs w:val="18"/>
        </w:rPr>
        <w:t xml:space="preserve">  "citations": [{"type": "log|kb", "ref": "..."}],</w:t>
      </w:r>
    </w:p>
    <w:p>
      <w:pPr>
        <w:shd w:fill="F2F2F2" w:val="clear"/>
        <w:spacing w:after="0"/>
        <w:ind w:left="300"/>
      </w:pPr>
      <w:r>
        <w:rPr>
          <w:rFonts w:ascii="Consolas" w:cs="Consolas" w:eastAsia="Consolas" w:hAnsi="Consolas"/>
          <w:color w:val="000000"/>
          <w:sz w:val="18"/>
          <w:szCs w:val="18"/>
        </w:rPr>
        <w:t xml:space="preserve">  "confidence": 0.0,</w:t>
      </w:r>
    </w:p>
    <w:p>
      <w:pPr>
        <w:shd w:fill="F2F2F2" w:val="clear"/>
        <w:spacing w:after="0"/>
        <w:ind w:left="300"/>
      </w:pPr>
      <w:r>
        <w:rPr>
          <w:rFonts w:ascii="Consolas" w:cs="Consolas" w:eastAsia="Consolas" w:hAnsi="Consolas"/>
          <w:color w:val="000000"/>
          <w:sz w:val="18"/>
          <w:szCs w:val="18"/>
        </w:rPr>
        <w:t xml:space="preserve">  "insufficient_information": false</w:t>
      </w:r>
    </w:p>
    <w:p>
      <w:pPr>
        <w:shd w:fill="F2F2F2" w:val="clear"/>
        <w:spacing w:after="140"/>
        <w:ind w:left="300"/>
      </w:pPr>
      <w:r>
        <w:rPr>
          <w:rFonts w:ascii="Consolas" w:cs="Consolas" w:eastAsia="Consolas" w:hAnsi="Consolas"/>
          <w:color w:val="000000"/>
          <w:sz w:val="18"/>
          <w:szCs w:val="18"/>
        </w:rPr>
        <w:t xml:space="preserve">}</w:t>
      </w:r>
    </w:p>
    <w:p>
      <w:pPr>
        <w:pStyle w:val="ListParagraph"/>
        <w:numPr>
          <w:ilvl w:val="0"/>
          <w:numId w:val="1"/>
        </w:numPr>
        <w:spacing w:after="60"/>
      </w:pPr>
      <w:r>
        <w:rPr>
          <w:rFonts w:ascii="Calibri" w:cs="Calibri" w:eastAsia="Calibri" w:hAnsi="Calibri"/>
          <w:color w:val="000000"/>
          <w:sz w:val="21"/>
          <w:szCs w:val="21"/>
        </w:rPr>
        <w:t xml:space="preserve">Prompt instructs the model to answer only from supplied evidence and to set insufficient_information where evidence is inadequate.</w:t>
      </w:r>
    </w:p>
    <w:p>
      <w:pPr>
        <w:pStyle w:val="ListParagraph"/>
        <w:numPr>
          <w:ilvl w:val="0"/>
          <w:numId w:val="1"/>
        </w:numPr>
        <w:spacing w:after="60"/>
      </w:pPr>
      <w:r>
        <w:rPr>
          <w:rFonts w:ascii="Calibri" w:cs="Calibri" w:eastAsia="Calibri" w:hAnsi="Calibri"/>
          <w:color w:val="000000"/>
          <w:sz w:val="21"/>
          <w:szCs w:val="21"/>
        </w:rPr>
        <w:t xml:space="preserve">resolution_type of controlled_rerun requires explicit rerun_parameters for human approval; the agent never initiates a rerun.</w:t>
      </w:r>
    </w:p>
    <w:p>
      <w:pPr>
        <w:pStyle w:val="ListParagraph"/>
        <w:numPr>
          <w:ilvl w:val="0"/>
          <w:numId w:val="1"/>
        </w:numPr>
        <w:spacing w:after="60"/>
      </w:pPr>
      <w:r>
        <w:rPr>
          <w:rFonts w:ascii="Calibri" w:cs="Calibri" w:eastAsia="Calibri" w:hAnsi="Calibri"/>
          <w:color w:val="000000"/>
          <w:sz w:val="21"/>
          <w:szCs w:val="21"/>
        </w:rPr>
        <w:t xml:space="preserve">Confidence is emitted by the model and calibrated against the labelled set; the raw score is not trusted until calibration is complete.</w:t>
      </w:r>
    </w:p>
    <w:p>
      <w:pPr>
        <w:pStyle w:val="Heading2"/>
        <w:spacing w:after="100" w:before="240"/>
      </w:pPr>
      <w:r>
        <w:rPr>
          <w:rFonts w:ascii="Calibri" w:cs="Calibri" w:eastAsia="Calibri" w:hAnsi="Calibri"/>
          <w:b/>
          <w:bCs/>
          <w:color w:val="000000"/>
          <w:sz w:val="24"/>
          <w:szCs w:val="24"/>
        </w:rPr>
        <w:t xml:space="preserve">5.4 Confidence Gate</w:t>
      </w:r>
    </w:p>
    <w:p>
      <w:pPr>
        <w:spacing w:after="140"/>
      </w:pPr>
      <w:r>
        <w:rPr>
          <w:rFonts w:ascii="Calibri" w:cs="Calibri" w:eastAsia="Calibri" w:hAnsi="Calibri"/>
          <w:color w:val="000000"/>
          <w:sz w:val="22"/>
          <w:szCs w:val="22"/>
        </w:rPr>
        <w:t xml:space="preserve">Deterministic code, not a model call. Evaluates confidence against the configured threshold, presence of citations, insufficient_information flag and error_category rollout status. Any failing condition forces the escalation path. Thresholds are externally configurable and version controlled.</w:t>
      </w:r>
    </w:p>
    <w:p>
      <w:pPr>
        <w:pStyle w:val="Heading2"/>
        <w:spacing w:after="100" w:before="240"/>
      </w:pPr>
      <w:r>
        <w:rPr>
          <w:rFonts w:ascii="Calibri" w:cs="Calibri" w:eastAsia="Calibri" w:hAnsi="Calibri"/>
          <w:b/>
          <w:bCs/>
          <w:color w:val="000000"/>
          <w:sz w:val="24"/>
          <w:szCs w:val="24"/>
        </w:rPr>
        <w:t xml:space="preserve">5.5 Template Generator Agent</w:t>
      </w:r>
    </w:p>
    <w:p>
      <w:pPr>
        <w:spacing w:after="140"/>
      </w:pPr>
      <w:r>
        <w:rPr>
          <w:rFonts w:ascii="Calibri" w:cs="Calibri" w:eastAsia="Calibri" w:hAnsi="Calibri"/>
          <w:color w:val="000000"/>
          <w:sz w:val="22"/>
          <w:szCs w:val="22"/>
        </w:rPr>
        <w:t xml:space="preserve">Input: parse output, diagnosis, retrieved template precedents. Output: template field map conforming to the approved schema.</w:t>
      </w:r>
    </w:p>
    <w:p>
      <w:pPr>
        <w:pStyle w:val="ListParagraph"/>
        <w:numPr>
          <w:ilvl w:val="0"/>
          <w:numId w:val="1"/>
        </w:numPr>
        <w:spacing w:after="60"/>
      </w:pPr>
      <w:r>
        <w:rPr>
          <w:rFonts w:ascii="Calibri" w:cs="Calibri" w:eastAsia="Calibri" w:hAnsi="Calibri"/>
          <w:color w:val="000000"/>
          <w:sz w:val="21"/>
          <w:szCs w:val="21"/>
        </w:rPr>
        <w:t xml:space="preserve">Populates mandatory fields only from supported evidence; unsupported fields are set to an explicit unknown marker.</w:t>
      </w:r>
    </w:p>
    <w:p>
      <w:pPr>
        <w:pStyle w:val="ListParagraph"/>
        <w:numPr>
          <w:ilvl w:val="0"/>
          <w:numId w:val="1"/>
        </w:numPr>
        <w:spacing w:after="60"/>
      </w:pPr>
      <w:r>
        <w:rPr>
          <w:rFonts w:ascii="Calibri" w:cs="Calibri" w:eastAsia="Calibri" w:hAnsi="Calibri"/>
          <w:color w:val="000000"/>
          <w:sz w:val="21"/>
          <w:szCs w:val="21"/>
        </w:rPr>
        <w:t xml:space="preserve">Attaches log excerpts and S3 references supporting the escalation.</w:t>
      </w:r>
    </w:p>
    <w:p>
      <w:pPr>
        <w:pStyle w:val="ListParagraph"/>
        <w:numPr>
          <w:ilvl w:val="0"/>
          <w:numId w:val="1"/>
        </w:numPr>
        <w:spacing w:after="60"/>
      </w:pPr>
      <w:r>
        <w:rPr>
          <w:rFonts w:ascii="Calibri" w:cs="Calibri" w:eastAsia="Calibri" w:hAnsi="Calibri"/>
          <w:color w:val="000000"/>
          <w:sz w:val="21"/>
          <w:szCs w:val="21"/>
        </w:rPr>
        <w:t xml:space="preserve">Output is validated against the approved template schema before it reaches the reviewer.</w:t>
      </w:r>
    </w:p>
    <w:p>
      <w:pPr>
        <w:pStyle w:val="Heading2"/>
        <w:spacing w:after="100" w:before="240"/>
      </w:pPr>
      <w:r>
        <w:rPr>
          <w:rFonts w:ascii="Calibri" w:cs="Calibri" w:eastAsia="Calibri" w:hAnsi="Calibri"/>
          <w:b/>
          <w:bCs/>
          <w:color w:val="000000"/>
          <w:sz w:val="24"/>
          <w:szCs w:val="24"/>
        </w:rPr>
        <w:t xml:space="preserve">5.6 Integration Agent</w:t>
      </w:r>
    </w:p>
    <w:p>
      <w:pPr>
        <w:spacing w:after="140"/>
      </w:pPr>
      <w:r>
        <w:rPr>
          <w:rFonts w:ascii="Calibri" w:cs="Calibri" w:eastAsia="Calibri" w:hAnsi="Calibri"/>
          <w:color w:val="000000"/>
          <w:sz w:val="22"/>
          <w:szCs w:val="22"/>
        </w:rPr>
        <w:t xml:space="preserve">Deterministic orchestration with no generative step at submission time. Maps the approved template to Jira fields, attaches log references, dispatches the email, and applies deduplication before creation.</w:t>
      </w:r>
    </w:p>
    <w:p>
      <w:r>
        <w:br w:type="page"/>
      </w:r>
    </w:p>
    <w:p>
      <w:pPr>
        <w:pStyle w:val="Heading1"/>
        <w:spacing w:after="140" w:before="320"/>
      </w:pPr>
      <w:r>
        <w:rPr>
          <w:rFonts w:ascii="Calibri" w:cs="Calibri" w:eastAsia="Calibri" w:hAnsi="Calibri"/>
          <w:b/>
          <w:bCs/>
          <w:color w:val="000000"/>
          <w:sz w:val="28"/>
          <w:szCs w:val="28"/>
        </w:rPr>
        <w:t xml:space="preserve">6. Guardrail Implementation</w:t>
      </w:r>
    </w:p>
    <w:p>
      <w:pPr>
        <w:pStyle w:val="Heading2"/>
        <w:spacing w:after="100" w:before="240"/>
      </w:pPr>
      <w:r>
        <w:rPr>
          <w:rFonts w:ascii="Calibri" w:cs="Calibri" w:eastAsia="Calibri" w:hAnsi="Calibri"/>
          <w:b/>
          <w:bCs/>
          <w:color w:val="000000"/>
          <w:sz w:val="24"/>
          <w:szCs w:val="24"/>
        </w:rPr>
        <w:t xml:space="preserve">6.1 Input Guardrails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Control</w:t>
            </w:r>
          </w:p>
        </w:tc>
        <w:tc>
          <w:tcPr>
            <w:tcW w:type="dxa" w:w="748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Implementation</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Redaction</w:t>
            </w:r>
          </w:p>
        </w:tc>
        <w:tc>
          <w:tcPr>
            <w:tcW w:type="dxa" w:w="74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Pattern and entity based scrubbing of credentials, connection strings, tokens, account and personal identifiers prior to any model call</w:t>
            </w:r>
          </w:p>
        </w:tc>
      </w:tr>
      <w:tr>
        <w:tc>
          <w:tcPr>
            <w:tcW w:type="dxa" w:w="2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Data classification</w:t>
            </w:r>
          </w:p>
        </w:tc>
        <w:tc>
          <w:tcPr>
            <w:tcW w:type="dxa" w:w="74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Classification tagging with block above approved threshold; excluded content logged with reason</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Injection screening</w:t>
            </w:r>
          </w:p>
        </w:tc>
        <w:tc>
          <w:tcPr>
            <w:tcW w:type="dxa" w:w="74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Detection of instruction-like content embedded in log or user-supplied text; suspicious content neutralised or routed to manual</w:t>
            </w:r>
          </w:p>
        </w:tc>
      </w:tr>
      <w:tr>
        <w:tc>
          <w:tcPr>
            <w:tcW w:type="dxa" w:w="2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Payload capping</w:t>
            </w:r>
          </w:p>
        </w:tc>
        <w:tc>
          <w:tcPr>
            <w:tcW w:type="dxa" w:w="74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Deterministic truncation and chunking strategy with a hard token ceiling per invocation</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Fail closed</w:t>
            </w:r>
          </w:p>
        </w:tc>
        <w:tc>
          <w:tcPr>
            <w:tcW w:type="dxa" w:w="74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Any screening error routes the incident to MANUAL_FALLBACK rather than proceeding</w:t>
            </w:r>
          </w:p>
        </w:tc>
      </w:tr>
    </w:tbl>
    <w:p>
      <w:pPr>
        <w:pStyle w:val="Heading2"/>
        <w:spacing w:after="100" w:before="240"/>
      </w:pPr>
      <w:r>
        <w:rPr>
          <w:rFonts w:ascii="Calibri" w:cs="Calibri" w:eastAsia="Calibri" w:hAnsi="Calibri"/>
          <w:b/>
          <w:bCs/>
          <w:color w:val="000000"/>
          <w:sz w:val="24"/>
          <w:szCs w:val="24"/>
        </w:rPr>
        <w:t xml:space="preserve">6.2 Output Guardrails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Control</w:t>
            </w:r>
          </w:p>
        </w:tc>
        <w:tc>
          <w:tcPr>
            <w:tcW w:type="dxa" w:w="748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Implementation</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Grounding check</w:t>
            </w:r>
          </w:p>
        </w:tc>
        <w:tc>
          <w:tcPr>
            <w:tcW w:type="dxa" w:w="74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Each citation is resolved against actual parsed evidence or an indexed chunk; unresolvable citations block or flag the output</w:t>
            </w:r>
          </w:p>
        </w:tc>
      </w:tr>
      <w:tr>
        <w:tc>
          <w:tcPr>
            <w:tcW w:type="dxa" w:w="2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Proposal-only</w:t>
            </w:r>
          </w:p>
        </w:tc>
        <w:tc>
          <w:tcPr>
            <w:tcW w:type="dxa" w:w="74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Pattern and intent screening blocks output containing executable remediation directed at production systems</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Sensitive data egress</w:t>
            </w:r>
          </w:p>
        </w:tc>
        <w:tc>
          <w:tcPr>
            <w:tcW w:type="dxa" w:w="74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Re-screening of generated content, including text reproduced from logs, before human presentation</w:t>
            </w:r>
          </w:p>
        </w:tc>
      </w:tr>
      <w:tr>
        <w:tc>
          <w:tcPr>
            <w:tcW w:type="dxa" w:w="2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Moderation</w:t>
            </w:r>
          </w:p>
        </w:tc>
        <w:tc>
          <w:tcPr>
            <w:tcW w:type="dxa" w:w="74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Content moderation screening on every generated output</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Budget ceiling</w:t>
            </w:r>
          </w:p>
        </w:tc>
        <w:tc>
          <w:tcPr>
            <w:tcW w:type="dxa" w:w="74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Per-incident cumulative token and cost cap across all agent calls, halting on breach</w:t>
            </w:r>
          </w:p>
        </w:tc>
      </w:tr>
      <w:tr>
        <w:tc>
          <w:tcPr>
            <w:tcW w:type="dxa" w:w="2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Loop cap</w:t>
            </w:r>
          </w:p>
        </w:tc>
        <w:tc>
          <w:tcPr>
            <w:tcW w:type="dxa" w:w="74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Maximum controlled rerun iterations per incident to prevent unbounded recursion</w:t>
            </w:r>
          </w:p>
        </w:tc>
      </w:tr>
    </w:tbl>
    <w:p>
      <w:pPr>
        <w:pStyle w:val="Heading2"/>
        <w:spacing w:after="100" w:before="240"/>
      </w:pPr>
      <w:r>
        <w:rPr>
          <w:rFonts w:ascii="Calibri" w:cs="Calibri" w:eastAsia="Calibri" w:hAnsi="Calibri"/>
          <w:b/>
          <w:bCs/>
          <w:color w:val="000000"/>
          <w:sz w:val="24"/>
          <w:szCs w:val="24"/>
        </w:rPr>
        <w:t xml:space="preserve">6.3 Guardrail Observability</w:t>
      </w:r>
    </w:p>
    <w:p>
      <w:pPr>
        <w:spacing w:after="140"/>
      </w:pPr>
      <w:r>
        <w:rPr>
          <w:rFonts w:ascii="Calibri" w:cs="Calibri" w:eastAsia="Calibri" w:hAnsi="Calibri"/>
          <w:color w:val="000000"/>
          <w:sz w:val="22"/>
          <w:szCs w:val="22"/>
        </w:rPr>
        <w:t xml:space="preserve">Every guardrail evaluation records the rule identifier, outcome and disposition. Trigger rates are reported per rule so that over-blocking and under-blocking are both visible. A material change in trigger rate is treated as a signal of drift in either logs or model behaviour.</w:t>
      </w:r>
    </w:p>
    <w:p>
      <w:r>
        <w:br w:type="page"/>
      </w:r>
    </w:p>
    <w:p>
      <w:pPr>
        <w:pStyle w:val="Heading1"/>
        <w:spacing w:after="140" w:before="320"/>
      </w:pPr>
      <w:r>
        <w:rPr>
          <w:rFonts w:ascii="Calibri" w:cs="Calibri" w:eastAsia="Calibri" w:hAnsi="Calibri"/>
          <w:b/>
          <w:bCs/>
          <w:color w:val="000000"/>
          <w:sz w:val="28"/>
          <w:szCs w:val="28"/>
        </w:rPr>
        <w:t xml:space="preserve">7. Interface Specifications</w:t>
      </w:r>
    </w:p>
    <w:p>
      <w:pPr>
        <w:pStyle w:val="Heading2"/>
        <w:spacing w:after="100" w:before="240"/>
      </w:pPr>
      <w:r>
        <w:rPr>
          <w:rFonts w:ascii="Calibri" w:cs="Calibri" w:eastAsia="Calibri" w:hAnsi="Calibri"/>
          <w:b/>
          <w:bCs/>
          <w:color w:val="000000"/>
          <w:sz w:val="24"/>
          <w:szCs w:val="24"/>
        </w:rPr>
        <w:t xml:space="preserve">7.1 Internal Service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5480"/>
      </w:tblGrid>
      <w:tr>
        <w:tc>
          <w:tcPr>
            <w:tcW w:type="dxa" w:w="32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Endpoint</w:t>
            </w:r>
          </w:p>
        </w:tc>
        <w:tc>
          <w:tcPr>
            <w:tcW w:type="dxa" w:w="14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Method</w:t>
            </w:r>
          </w:p>
        </w:tc>
        <w:tc>
          <w:tcPr>
            <w:tcW w:type="dxa" w:w="548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Purpose</w:t>
            </w:r>
          </w:p>
        </w:tc>
      </w:tr>
      <w:tr>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/incidents</w:t>
            </w:r>
          </w:p>
        </w:tc>
        <w:tc>
          <w:tcPr>
            <w:tcW w:type="dxa" w:w="1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GET</w:t>
            </w:r>
          </w:p>
        </w:tc>
        <w:tc>
          <w:tcPr>
            <w:tcW w:type="dxa" w:w="54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List incidents with status and filter parameters</w:t>
            </w:r>
          </w:p>
        </w:tc>
      </w:tr>
      <w:tr>
        <w:tc>
          <w:tcPr>
            <w:tcW w:type="dxa" w:w="32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/incidents/{id}</w:t>
            </w:r>
          </w:p>
        </w:tc>
        <w:tc>
          <w:tcPr>
            <w:tcW w:type="dxa" w:w="1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GET</w:t>
            </w:r>
          </w:p>
        </w:tc>
        <w:tc>
          <w:tcPr>
            <w:tcW w:type="dxa" w:w="54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Retrieve full incident detail including diagnosis and evidence</w:t>
            </w:r>
          </w:p>
        </w:tc>
      </w:tr>
      <w:tr>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/incidents/{id}/review</w:t>
            </w:r>
          </w:p>
        </w:tc>
        <w:tc>
          <w:tcPr>
            <w:tcW w:type="dxa" w:w="1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POST</w:t>
            </w:r>
          </w:p>
        </w:tc>
        <w:tc>
          <w:tcPr>
            <w:tcW w:type="dxa" w:w="54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Submit reviewer decision: approve, reject or approve rerun</w:t>
            </w:r>
          </w:p>
        </w:tc>
      </w:tr>
      <w:tr>
        <w:tc>
          <w:tcPr>
            <w:tcW w:type="dxa" w:w="32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/incidents/{id}/template</w:t>
            </w:r>
          </w:p>
        </w:tc>
        <w:tc>
          <w:tcPr>
            <w:tcW w:type="dxa" w:w="1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PUT</w:t>
            </w:r>
          </w:p>
        </w:tc>
        <w:tc>
          <w:tcPr>
            <w:tcW w:type="dxa" w:w="54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Persist reviewer edits to template fields</w:t>
            </w:r>
          </w:p>
        </w:tc>
      </w:tr>
      <w:tr>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/kb/search</w:t>
            </w:r>
          </w:p>
        </w:tc>
        <w:tc>
          <w:tcPr>
            <w:tcW w:type="dxa" w:w="1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POST</w:t>
            </w:r>
          </w:p>
        </w:tc>
        <w:tc>
          <w:tcPr>
            <w:tcW w:type="dxa" w:w="54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Diagnostic retrieval against the active index</w:t>
            </w:r>
          </w:p>
        </w:tc>
      </w:tr>
      <w:tr>
        <w:tc>
          <w:tcPr>
            <w:tcW w:type="dxa" w:w="32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/kb/documents</w:t>
            </w:r>
          </w:p>
        </w:tc>
        <w:tc>
          <w:tcPr>
            <w:tcW w:type="dxa" w:w="1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POST</w:t>
            </w:r>
          </w:p>
        </w:tc>
        <w:tc>
          <w:tcPr>
            <w:tcW w:type="dxa" w:w="54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Submit approved content for indexing</w:t>
            </w:r>
          </w:p>
        </w:tc>
      </w:tr>
      <w:tr>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/kb/index/promote</w:t>
            </w:r>
          </w:p>
        </w:tc>
        <w:tc>
          <w:tcPr>
            <w:tcW w:type="dxa" w:w="1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POST</w:t>
            </w:r>
          </w:p>
        </w:tc>
        <w:tc>
          <w:tcPr>
            <w:tcW w:type="dxa" w:w="54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Promote a candidate index version after evaluation</w:t>
            </w:r>
          </w:p>
        </w:tc>
      </w:tr>
      <w:tr>
        <w:tc>
          <w:tcPr>
            <w:tcW w:type="dxa" w:w="32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/admin/config</w:t>
            </w:r>
          </w:p>
        </w:tc>
        <w:tc>
          <w:tcPr>
            <w:tcW w:type="dxa" w:w="1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GET / PUT</w:t>
            </w:r>
          </w:p>
        </w:tc>
        <w:tc>
          <w:tcPr>
            <w:tcW w:type="dxa" w:w="54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Read and update thresholds, prompts and guardrail rules</w:t>
            </w:r>
          </w:p>
        </w:tc>
      </w:tr>
      <w:tr>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/admin/killswitch</w:t>
            </w:r>
          </w:p>
        </w:tc>
        <w:tc>
          <w:tcPr>
            <w:tcW w:type="dxa" w:w="1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POST</w:t>
            </w:r>
          </w:p>
        </w:tc>
        <w:tc>
          <w:tcPr>
            <w:tcW w:type="dxa" w:w="54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Enable or disable automated processing</w:t>
            </w:r>
          </w:p>
        </w:tc>
      </w:tr>
      <w:tr>
        <w:tc>
          <w:tcPr>
            <w:tcW w:type="dxa" w:w="32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/health</w:t>
            </w:r>
          </w:p>
        </w:tc>
        <w:tc>
          <w:tcPr>
            <w:tcW w:type="dxa" w:w="1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GET</w:t>
            </w:r>
          </w:p>
        </w:tc>
        <w:tc>
          <w:tcPr>
            <w:tcW w:type="dxa" w:w="54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Liveness and dependency status</w:t>
            </w:r>
          </w:p>
        </w:tc>
      </w:tr>
    </w:tbl>
    <w:p>
      <w:pPr>
        <w:pStyle w:val="Heading2"/>
        <w:spacing w:after="100" w:before="240"/>
      </w:pPr>
      <w:r>
        <w:rPr>
          <w:rFonts w:ascii="Calibri" w:cs="Calibri" w:eastAsia="Calibri" w:hAnsi="Calibri"/>
          <w:b/>
          <w:bCs/>
          <w:color w:val="000000"/>
          <w:sz w:val="24"/>
          <w:szCs w:val="24"/>
        </w:rPr>
        <w:t xml:space="preserve">7.2 External Integrations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System</w:t>
            </w:r>
          </w:p>
        </w:tc>
        <w:tc>
          <w:tcPr>
            <w:tcW w:type="dxa" w:w="768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Interaction</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AWS S3</w:t>
            </w:r>
          </w:p>
        </w:tc>
        <w:tc>
          <w:tcPr>
            <w:tcW w:type="dxa" w:w="7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Event notification inbound; read of execution logs and working directory artefacts</w:t>
            </w:r>
          </w:p>
        </w:tc>
      </w:tr>
      <w:tr>
        <w:tc>
          <w:tcPr>
            <w:tcW w:type="dxa" w:w="2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Internal AI platform</w:t>
            </w:r>
          </w:p>
        </w:tc>
        <w:tc>
          <w:tcPr>
            <w:tcW w:type="dxa" w:w="7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Chat completion calls for GPT-5.1 and embedding calls for text-embedding-small, authenticated by JWT</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Jira</w:t>
            </w:r>
          </w:p>
        </w:tc>
        <w:tc>
          <w:tcPr>
            <w:tcW w:type="dxa" w:w="7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REST API issue creation, attachment, search for deduplication and closure webhook for feedback</w:t>
            </w:r>
          </w:p>
        </w:tc>
      </w:tr>
      <w:tr>
        <w:tc>
          <w:tcPr>
            <w:tcW w:type="dxa" w:w="2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Mail service</w:t>
            </w:r>
          </w:p>
        </w:tc>
        <w:tc>
          <w:tcPr>
            <w:tcW w:type="dxa" w:w="7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Dispatch of alert and completed template to the Genie Support Mailbox</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OpenAM / DSP</w:t>
            </w:r>
          </w:p>
        </w:tc>
        <w:tc>
          <w:tcPr>
            <w:tcW w:type="dxa" w:w="7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Token issuance and translation with background refresh</w:t>
            </w:r>
          </w:p>
        </w:tc>
      </w:tr>
    </w:tbl>
    <w:p>
      <w:pPr>
        <w:pStyle w:val="Heading2"/>
        <w:spacing w:after="100" w:before="240"/>
      </w:pPr>
      <w:r>
        <w:rPr>
          <w:rFonts w:ascii="Calibri" w:cs="Calibri" w:eastAsia="Calibri" w:hAnsi="Calibri"/>
          <w:b/>
          <w:bCs/>
          <w:color w:val="000000"/>
          <w:sz w:val="24"/>
          <w:szCs w:val="24"/>
        </w:rPr>
        <w:t xml:space="preserve">7.3 Deduplication Logic</w:t>
      </w:r>
    </w:p>
    <w:p>
      <w:pPr>
        <w:spacing w:after="60"/>
        <w:ind w:left="420"/>
      </w:pPr>
      <w:r>
        <w:rPr>
          <w:rFonts w:ascii="Calibri" w:cs="Calibri" w:eastAsia="Calibri" w:hAnsi="Calibri"/>
          <w:color w:val="000000"/>
          <w:sz w:val="21"/>
          <w:szCs w:val="21"/>
        </w:rPr>
        <w:t xml:space="preserve">1. Compute the error_signature_id from normalised exception type, failing module and bot identifier.</w:t>
      </w:r>
    </w:p>
    <w:p>
      <w:pPr>
        <w:spacing w:after="60"/>
        <w:ind w:left="420"/>
      </w:pPr>
      <w:r>
        <w:rPr>
          <w:rFonts w:ascii="Calibri" w:cs="Calibri" w:eastAsia="Calibri" w:hAnsi="Calibri"/>
          <w:color w:val="000000"/>
          <w:sz w:val="21"/>
          <w:szCs w:val="21"/>
        </w:rPr>
        <w:t xml:space="preserve">2. Exact match: search open incidents and Jira issues for the same signature within the configured window.</w:t>
      </w:r>
    </w:p>
    <w:p>
      <w:pPr>
        <w:spacing w:after="60"/>
        <w:ind w:left="420"/>
      </w:pPr>
      <w:r>
        <w:rPr>
          <w:rFonts w:ascii="Calibri" w:cs="Calibri" w:eastAsia="Calibri" w:hAnsi="Calibri"/>
          <w:color w:val="000000"/>
          <w:sz w:val="21"/>
          <w:szCs w:val="21"/>
        </w:rPr>
        <w:t xml:space="preserve">3. Fuzzy match: similarity comparison of summary text above the configured threshold.</w:t>
      </w:r>
    </w:p>
    <w:p>
      <w:pPr>
        <w:spacing w:after="60"/>
        <w:ind w:left="420"/>
      </w:pPr>
      <w:r>
        <w:rPr>
          <w:rFonts w:ascii="Calibri" w:cs="Calibri" w:eastAsia="Calibri" w:hAnsi="Calibri"/>
          <w:color w:val="000000"/>
          <w:sz w:val="21"/>
          <w:szCs w:val="21"/>
        </w:rPr>
        <w:t xml:space="preserve">4. On match, link or append to the existing ticket and mark the incident as linked rather than creating a duplicate.</w:t>
      </w:r>
    </w:p>
    <w:p>
      <w:pPr>
        <w:spacing w:after="60"/>
        <w:ind w:left="420"/>
      </w:pPr>
      <w:r>
        <w:rPr>
          <w:rFonts w:ascii="Calibri" w:cs="Calibri" w:eastAsia="Calibri" w:hAnsi="Calibri"/>
          <w:color w:val="000000"/>
          <w:sz w:val="21"/>
          <w:szCs w:val="21"/>
        </w:rPr>
        <w:t xml:space="preserve">5. Record the matching basis in the audit ledger so deduplication decisions are reviewable.</w:t>
      </w:r>
    </w:p>
    <w:p>
      <w:r>
        <w:br w:type="page"/>
      </w:r>
    </w:p>
    <w:p>
      <w:pPr>
        <w:pStyle w:val="Heading1"/>
        <w:spacing w:after="140" w:before="320"/>
      </w:pPr>
      <w:r>
        <w:rPr>
          <w:rFonts w:ascii="Calibri" w:cs="Calibri" w:eastAsia="Calibri" w:hAnsi="Calibri"/>
          <w:b/>
          <w:bCs/>
          <w:color w:val="000000"/>
          <w:sz w:val="28"/>
          <w:szCs w:val="28"/>
        </w:rPr>
        <w:t xml:space="preserve">8. Deployment &amp; Environments</w:t>
      </w:r>
    </w:p>
    <w:p>
      <w:pPr>
        <w:pStyle w:val="Heading2"/>
        <w:spacing w:after="100" w:before="240"/>
      </w:pPr>
      <w:r>
        <w:rPr>
          <w:rFonts w:ascii="Calibri" w:cs="Calibri" w:eastAsia="Calibri" w:hAnsi="Calibri"/>
          <w:b/>
          <w:bCs/>
          <w:color w:val="000000"/>
          <w:sz w:val="24"/>
          <w:szCs w:val="24"/>
        </w:rPr>
        <w:t xml:space="preserve">8.1 Environments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680"/>
      </w:tblGrid>
      <w:tr>
        <w:tc>
          <w:tcPr>
            <w:tcW w:type="dxa" w:w="20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Environment</w:t>
            </w:r>
          </w:p>
        </w:tc>
        <w:tc>
          <w:tcPr>
            <w:tcW w:type="dxa" w:w="34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Purpose</w:t>
            </w:r>
          </w:p>
        </w:tc>
        <w:tc>
          <w:tcPr>
            <w:tcW w:type="dxa" w:w="468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Data</w:t>
            </w:r>
          </w:p>
        </w:tc>
      </w:tr>
      <w:tr>
        <w:tc>
          <w:tcPr>
            <w:tcW w:type="dxa" w:w="2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Development</w:t>
            </w:r>
          </w:p>
        </w:tc>
        <w:tc>
          <w:tcPr>
            <w:tcW w:type="dxa" w:w="3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Component build and unit test</w:t>
            </w:r>
          </w:p>
        </w:tc>
        <w:tc>
          <w:tcPr>
            <w:tcW w:type="dxa" w:w="4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Synthetic and anonymised sample logs only</w:t>
            </w:r>
          </w:p>
        </w:tc>
      </w:tr>
      <w:tr>
        <w:tc>
          <w:tcPr>
            <w:tcW w:type="dxa" w:w="20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UAT</w:t>
            </w:r>
          </w:p>
        </w:tc>
        <w:tc>
          <w:tcPr>
            <w:tcW w:type="dxa" w:w="3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Integration, shadow mode, calibration</w:t>
            </w:r>
          </w:p>
        </w:tc>
        <w:tc>
          <w:tcPr>
            <w:tcW w:type="dxa" w:w="4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Copied historical logs, redacted; non-production Jira project</w:t>
            </w:r>
          </w:p>
        </w:tc>
      </w:tr>
      <w:tr>
        <w:tc>
          <w:tcPr>
            <w:tcW w:type="dxa" w:w="2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Production</w:t>
            </w:r>
          </w:p>
        </w:tc>
        <w:tc>
          <w:tcPr>
            <w:tcW w:type="dxa" w:w="3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Staged live rollout</w:t>
            </w:r>
          </w:p>
        </w:tc>
        <w:tc>
          <w:tcPr>
            <w:tcW w:type="dxa" w:w="4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Live logs with runtime redaction; live L2 queue</w:t>
            </w:r>
          </w:p>
        </w:tc>
      </w:tr>
    </w:tbl>
    <w:p>
      <w:pPr>
        <w:pStyle w:val="Heading2"/>
        <w:spacing w:after="100" w:before="240"/>
      </w:pPr>
      <w:r>
        <w:rPr>
          <w:rFonts w:ascii="Calibri" w:cs="Calibri" w:eastAsia="Calibri" w:hAnsi="Calibri"/>
          <w:b/>
          <w:bCs/>
          <w:color w:val="000000"/>
          <w:sz w:val="24"/>
          <w:szCs w:val="24"/>
        </w:rPr>
        <w:t xml:space="preserve">8.2 Configuration Management</w:t>
      </w:r>
    </w:p>
    <w:p>
      <w:pPr>
        <w:pStyle w:val="ListParagraph"/>
        <w:numPr>
          <w:ilvl w:val="0"/>
          <w:numId w:val="1"/>
        </w:numPr>
        <w:spacing w:after="60"/>
      </w:pPr>
      <w:r>
        <w:rPr>
          <w:rFonts w:ascii="Calibri" w:cs="Calibri" w:eastAsia="Calibri" w:hAnsi="Calibri"/>
          <w:color w:val="000000"/>
          <w:sz w:val="21"/>
          <w:szCs w:val="21"/>
        </w:rPr>
        <w:t xml:space="preserve">Prompts, confidence thresholds, guardrail rules, taxonomy and template schema are externalised configuration, versioned in source control.</w:t>
      </w:r>
    </w:p>
    <w:p>
      <w:pPr>
        <w:pStyle w:val="ListParagraph"/>
        <w:numPr>
          <w:ilvl w:val="0"/>
          <w:numId w:val="1"/>
        </w:numPr>
        <w:spacing w:after="60"/>
      </w:pPr>
      <w:r>
        <w:rPr>
          <w:rFonts w:ascii="Calibri" w:cs="Calibri" w:eastAsia="Calibri" w:hAnsi="Calibri"/>
          <w:color w:val="000000"/>
          <w:sz w:val="21"/>
          <w:szCs w:val="21"/>
        </w:rPr>
        <w:t xml:space="preserve">Configuration changes are promoted through environments with the same review as code.</w:t>
      </w:r>
    </w:p>
    <w:p>
      <w:pPr>
        <w:pStyle w:val="ListParagraph"/>
        <w:numPr>
          <w:ilvl w:val="0"/>
          <w:numId w:val="1"/>
        </w:numPr>
        <w:spacing w:after="60"/>
      </w:pPr>
      <w:r>
        <w:rPr>
          <w:rFonts w:ascii="Calibri" w:cs="Calibri" w:eastAsia="Calibri" w:hAnsi="Calibri"/>
          <w:color w:val="000000"/>
          <w:sz w:val="21"/>
          <w:szCs w:val="21"/>
        </w:rPr>
        <w:t xml:space="preserve">The active prompt version and index version are recorded on every incident for reproducibility.</w:t>
      </w:r>
    </w:p>
    <w:p>
      <w:pPr>
        <w:pStyle w:val="Heading2"/>
        <w:spacing w:after="100" w:before="240"/>
      </w:pPr>
      <w:r>
        <w:rPr>
          <w:rFonts w:ascii="Calibri" w:cs="Calibri" w:eastAsia="Calibri" w:hAnsi="Calibri"/>
          <w:b/>
          <w:bCs/>
          <w:color w:val="000000"/>
          <w:sz w:val="24"/>
          <w:szCs w:val="24"/>
        </w:rPr>
        <w:t xml:space="preserve">8.3 Release Approach</w:t>
      </w:r>
    </w:p>
    <w:p>
      <w:pPr>
        <w:pStyle w:val="ListParagraph"/>
        <w:numPr>
          <w:ilvl w:val="0"/>
          <w:numId w:val="1"/>
        </w:numPr>
        <w:spacing w:after="60"/>
      </w:pPr>
      <w:r>
        <w:rPr>
          <w:rFonts w:ascii="Calibri" w:cs="Calibri" w:eastAsia="Calibri" w:hAnsi="Calibri"/>
          <w:color w:val="000000"/>
          <w:sz w:val="21"/>
          <w:szCs w:val="21"/>
        </w:rPr>
        <w:t xml:space="preserve">Shadow mode first: pipeline runs end to end but submission is disabled and outputs are compared against the manual process.</w:t>
      </w:r>
    </w:p>
    <w:p>
      <w:pPr>
        <w:pStyle w:val="ListParagraph"/>
        <w:numPr>
          <w:ilvl w:val="0"/>
          <w:numId w:val="1"/>
        </w:numPr>
        <w:spacing w:after="60"/>
      </w:pPr>
      <w:r>
        <w:rPr>
          <w:rFonts w:ascii="Calibri" w:cs="Calibri" w:eastAsia="Calibri" w:hAnsi="Calibri"/>
          <w:color w:val="000000"/>
          <w:sz w:val="21"/>
          <w:szCs w:val="21"/>
        </w:rPr>
        <w:t xml:space="preserve">Pilot: enabled for the narrowest, lowest-risk error category with the human gate mandatory on every incident.</w:t>
      </w:r>
    </w:p>
    <w:p>
      <w:pPr>
        <w:pStyle w:val="ListParagraph"/>
        <w:numPr>
          <w:ilvl w:val="0"/>
          <w:numId w:val="1"/>
        </w:numPr>
        <w:spacing w:after="60"/>
      </w:pPr>
      <w:r>
        <w:rPr>
          <w:rFonts w:ascii="Calibri" w:cs="Calibri" w:eastAsia="Calibri" w:hAnsi="Calibri"/>
          <w:color w:val="000000"/>
          <w:sz w:val="21"/>
          <w:szCs w:val="21"/>
        </w:rPr>
        <w:t xml:space="preserve">Expansion: additional categories enabled only after acceptance metrics are met for the preceding category.</w:t>
      </w:r>
    </w:p>
    <w:p>
      <w:pPr>
        <w:pStyle w:val="ListParagraph"/>
        <w:numPr>
          <w:ilvl w:val="0"/>
          <w:numId w:val="1"/>
        </w:numPr>
        <w:spacing w:after="60"/>
      </w:pPr>
      <w:r>
        <w:rPr>
          <w:rFonts w:ascii="Calibri" w:cs="Calibri" w:eastAsia="Calibri" w:hAnsi="Calibri"/>
          <w:color w:val="000000"/>
          <w:sz w:val="21"/>
          <w:szCs w:val="21"/>
        </w:rPr>
        <w:t xml:space="preserve">Auto-submission for any category requires separate formal approval supported by pilot evidence.</w:t>
      </w:r>
    </w:p>
    <w:p>
      <w:r>
        <w:br w:type="page"/>
      </w:r>
    </w:p>
    <w:p>
      <w:pPr>
        <w:pStyle w:val="Heading1"/>
        <w:spacing w:after="140" w:before="320"/>
      </w:pPr>
      <w:r>
        <w:rPr>
          <w:rFonts w:ascii="Calibri" w:cs="Calibri" w:eastAsia="Calibri" w:hAnsi="Calibri"/>
          <w:b/>
          <w:bCs/>
          <w:color w:val="000000"/>
          <w:sz w:val="28"/>
          <w:szCs w:val="28"/>
        </w:rPr>
        <w:t xml:space="preserve">9. Test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Test Type</w:t>
            </w:r>
          </w:p>
        </w:tc>
        <w:tc>
          <w:tcPr>
            <w:tcW w:type="dxa" w:w="768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Scope</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Unit</w:t>
            </w:r>
          </w:p>
        </w:tc>
        <w:tc>
          <w:tcPr>
            <w:tcW w:type="dxa" w:w="7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Parsing helpers, redaction rules, signature hashing, dedup matching, schema validation</w:t>
            </w:r>
          </w:p>
        </w:tc>
      </w:tr>
      <w:tr>
        <w:tc>
          <w:tcPr>
            <w:tcW w:type="dxa" w:w="2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Contract</w:t>
            </w:r>
          </w:p>
        </w:tc>
        <w:tc>
          <w:tcPr>
            <w:tcW w:type="dxa" w:w="7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Agent output schema conformance; Jira and mail payload mapping</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Golden set</w:t>
            </w:r>
          </w:p>
        </w:tc>
        <w:tc>
          <w:tcPr>
            <w:tcW w:type="dxa" w:w="7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Labelled historical incidents with known-correct root causes; measures diagnosis accuracy and confidence calibration</w:t>
            </w:r>
          </w:p>
        </w:tc>
      </w:tr>
      <w:tr>
        <w:tc>
          <w:tcPr>
            <w:tcW w:type="dxa" w:w="2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Retrieval evaluation</w:t>
            </w:r>
          </w:p>
        </w:tc>
        <w:tc>
          <w:tcPr>
            <w:tcW w:type="dxa" w:w="7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Labelled query to expected chunk set; measures recall and precision per index version</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Adversarial</w:t>
            </w:r>
          </w:p>
        </w:tc>
        <w:tc>
          <w:tcPr>
            <w:tcW w:type="dxa" w:w="7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Prompt injection in logs, credential leakage attempts, malformed and truncated logs, oversized payloads</w:t>
            </w:r>
          </w:p>
        </w:tc>
      </w:tr>
      <w:tr>
        <w:tc>
          <w:tcPr>
            <w:tcW w:type="dxa" w:w="2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Guardrail negative</w:t>
            </w:r>
          </w:p>
        </w:tc>
        <w:tc>
          <w:tcPr>
            <w:tcW w:type="dxa" w:w="7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Deliberate ungrounded and remediation-instruction outputs to confirm blocking</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Resilience</w:t>
            </w:r>
          </w:p>
        </w:tc>
        <w:tc>
          <w:tcPr>
            <w:tcW w:type="dxa" w:w="7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AI platform outage, Jira outage, mail failure, queue backlog, kill-switch activation</w:t>
            </w:r>
          </w:p>
        </w:tc>
      </w:tr>
      <w:tr>
        <w:tc>
          <w:tcPr>
            <w:tcW w:type="dxa" w:w="2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Shadow comparison</w:t>
            </w:r>
          </w:p>
        </w:tc>
        <w:tc>
          <w:tcPr>
            <w:tcW w:type="dxa" w:w="76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Parallel run against the manual process over an agreed period</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User acceptance</w:t>
            </w:r>
          </w:p>
        </w:tc>
        <w:tc>
          <w:tcPr>
            <w:tcW w:type="dxa" w:w="76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Production support review of usability, evidence clarity and edit burden</w:t>
            </w:r>
          </w:p>
        </w:tc>
      </w:tr>
    </w:tbl>
    <w:p>
      <w:pPr>
        <w:pStyle w:val="Heading2"/>
        <w:spacing w:after="100" w:before="240"/>
      </w:pPr>
      <w:r>
        <w:rPr>
          <w:rFonts w:ascii="Calibri" w:cs="Calibri" w:eastAsia="Calibri" w:hAnsi="Calibri"/>
          <w:b/>
          <w:bCs/>
          <w:color w:val="000000"/>
          <w:sz w:val="24"/>
          <w:szCs w:val="24"/>
        </w:rPr>
        <w:t xml:space="preserve">9.1 Key Acceptance Metrics</w:t>
      </w:r>
    </w:p>
    <w:p>
      <w:pPr>
        <w:pStyle w:val="ListParagraph"/>
        <w:numPr>
          <w:ilvl w:val="0"/>
          <w:numId w:val="1"/>
        </w:numPr>
        <w:spacing w:after="60"/>
      </w:pPr>
      <w:r>
        <w:rPr>
          <w:rFonts w:ascii="Calibri" w:cs="Calibri" w:eastAsia="Calibri" w:hAnsi="Calibri"/>
          <w:color w:val="000000"/>
          <w:sz w:val="21"/>
          <w:szCs w:val="21"/>
        </w:rPr>
        <w:t xml:space="preserve">Diagnosis accuracy against the golden set at or above the agreed threshold.</w:t>
      </w:r>
    </w:p>
    <w:p>
      <w:pPr>
        <w:pStyle w:val="ListParagraph"/>
        <w:numPr>
          <w:ilvl w:val="0"/>
          <w:numId w:val="1"/>
        </w:numPr>
        <w:spacing w:after="60"/>
      </w:pPr>
      <w:r>
        <w:rPr>
          <w:rFonts w:ascii="Calibri" w:cs="Calibri" w:eastAsia="Calibri" w:hAnsi="Calibri"/>
          <w:color w:val="000000"/>
          <w:sz w:val="21"/>
          <w:szCs w:val="21"/>
        </w:rPr>
        <w:t xml:space="preserve">False-resolution rate at or below the agreed ceiling, measured as approved diagnoses later found incorrect.</w:t>
      </w:r>
    </w:p>
    <w:p>
      <w:pPr>
        <w:pStyle w:val="ListParagraph"/>
        <w:numPr>
          <w:ilvl w:val="0"/>
          <w:numId w:val="1"/>
        </w:numPr>
        <w:spacing w:after="60"/>
      </w:pPr>
      <w:r>
        <w:rPr>
          <w:rFonts w:ascii="Calibri" w:cs="Calibri" w:eastAsia="Calibri" w:hAnsi="Calibri"/>
          <w:color w:val="000000"/>
          <w:sz w:val="21"/>
          <w:szCs w:val="21"/>
        </w:rPr>
        <w:t xml:space="preserve">Reviewer edit rate and rejection rate trending down across the pilot.</w:t>
      </w:r>
    </w:p>
    <w:p>
      <w:pPr>
        <w:pStyle w:val="ListParagraph"/>
        <w:numPr>
          <w:ilvl w:val="0"/>
          <w:numId w:val="1"/>
        </w:numPr>
        <w:spacing w:after="60"/>
      </w:pPr>
      <w:r>
        <w:rPr>
          <w:rFonts w:ascii="Calibri" w:cs="Calibri" w:eastAsia="Calibri" w:hAnsi="Calibri"/>
          <w:color w:val="000000"/>
          <w:sz w:val="21"/>
          <w:szCs w:val="21"/>
        </w:rPr>
        <w:t xml:space="preserve">Zero unredacted sensitive data findings in adversarial and sampled audits.</w:t>
      </w:r>
    </w:p>
    <w:p>
      <w:pPr>
        <w:pStyle w:val="ListParagraph"/>
        <w:numPr>
          <w:ilvl w:val="0"/>
          <w:numId w:val="1"/>
        </w:numPr>
        <w:spacing w:after="60"/>
      </w:pPr>
      <w:r>
        <w:rPr>
          <w:rFonts w:ascii="Calibri" w:cs="Calibri" w:eastAsia="Calibri" w:hAnsi="Calibri"/>
          <w:color w:val="000000"/>
          <w:sz w:val="21"/>
          <w:szCs w:val="21"/>
        </w:rPr>
        <w:t xml:space="preserve">Duplicate ticket rate no worse than the current manual baseline.</w:t>
      </w:r>
    </w:p>
    <w:p>
      <w:r>
        <w:br w:type="page"/>
      </w:r>
    </w:p>
    <w:p>
      <w:pPr>
        <w:pStyle w:val="Heading1"/>
        <w:spacing w:after="140" w:before="320"/>
      </w:pPr>
      <w:r>
        <w:rPr>
          <w:rFonts w:ascii="Calibri" w:cs="Calibri" w:eastAsia="Calibri" w:hAnsi="Calibri"/>
          <w:b/>
          <w:bCs/>
          <w:color w:val="000000"/>
          <w:sz w:val="28"/>
          <w:szCs w:val="28"/>
        </w:rPr>
        <w:t xml:space="preserve">10. Operations</w:t>
      </w:r>
    </w:p>
    <w:p>
      <w:pPr>
        <w:pStyle w:val="Heading2"/>
        <w:spacing w:after="100" w:before="240"/>
      </w:pPr>
      <w:r>
        <w:rPr>
          <w:rFonts w:ascii="Calibri" w:cs="Calibri" w:eastAsia="Calibri" w:hAnsi="Calibri"/>
          <w:b/>
          <w:bCs/>
          <w:color w:val="000000"/>
          <w:sz w:val="24"/>
          <w:szCs w:val="24"/>
        </w:rPr>
        <w:t xml:space="preserve">10.1 Monitoring</w:t>
      </w:r>
    </w:p>
    <w:p>
      <w:pPr>
        <w:pStyle w:val="ListParagraph"/>
        <w:numPr>
          <w:ilvl w:val="0"/>
          <w:numId w:val="1"/>
        </w:numPr>
        <w:spacing w:after="60"/>
      </w:pPr>
      <w:r>
        <w:rPr>
          <w:rFonts w:ascii="Calibri" w:cs="Calibri" w:eastAsia="Calibri" w:hAnsi="Calibri"/>
          <w:color w:val="000000"/>
          <w:sz w:val="21"/>
          <w:szCs w:val="21"/>
        </w:rPr>
        <w:t xml:space="preserve">Cost: token consumption and spend per model, module and incident, with budget alerting.</w:t>
      </w:r>
    </w:p>
    <w:p>
      <w:pPr>
        <w:pStyle w:val="ListParagraph"/>
        <w:numPr>
          <w:ilvl w:val="0"/>
          <w:numId w:val="1"/>
        </w:numPr>
        <w:spacing w:after="60"/>
      </w:pPr>
      <w:r>
        <w:rPr>
          <w:rFonts w:ascii="Calibri" w:cs="Calibri" w:eastAsia="Calibri" w:hAnsi="Calibri"/>
          <w:color w:val="000000"/>
          <w:sz w:val="21"/>
          <w:szCs w:val="21"/>
        </w:rPr>
        <w:t xml:space="preserve">Performance: end-to-end latency average and P99, throughput, per-module error rates.</w:t>
      </w:r>
    </w:p>
    <w:p>
      <w:pPr>
        <w:pStyle w:val="ListParagraph"/>
        <w:numPr>
          <w:ilvl w:val="0"/>
          <w:numId w:val="1"/>
        </w:numPr>
        <w:spacing w:after="60"/>
      </w:pPr>
      <w:r>
        <w:rPr>
          <w:rFonts w:ascii="Calibri" w:cs="Calibri" w:eastAsia="Calibri" w:hAnsi="Calibri"/>
          <w:color w:val="000000"/>
          <w:sz w:val="21"/>
          <w:szCs w:val="21"/>
        </w:rPr>
        <w:t xml:space="preserve">Quality: auto-resolution rate, escalation rate, reviewer edit and rejection rates, golden-set accuracy.</w:t>
      </w:r>
    </w:p>
    <w:p>
      <w:pPr>
        <w:pStyle w:val="ListParagraph"/>
        <w:numPr>
          <w:ilvl w:val="0"/>
          <w:numId w:val="1"/>
        </w:numPr>
        <w:spacing w:after="60"/>
      </w:pPr>
      <w:r>
        <w:rPr>
          <w:rFonts w:ascii="Calibri" w:cs="Calibri" w:eastAsia="Calibri" w:hAnsi="Calibri"/>
          <w:color w:val="000000"/>
          <w:sz w:val="21"/>
          <w:szCs w:val="21"/>
        </w:rPr>
        <w:t xml:space="preserve">Safety: guardrail trigger rates by rule, moderation and classification outcomes.</w:t>
      </w:r>
    </w:p>
    <w:p>
      <w:pPr>
        <w:pStyle w:val="ListParagraph"/>
        <w:numPr>
          <w:ilvl w:val="0"/>
          <w:numId w:val="1"/>
        </w:numPr>
        <w:spacing w:after="60"/>
      </w:pPr>
      <w:r>
        <w:rPr>
          <w:rFonts w:ascii="Calibri" w:cs="Calibri" w:eastAsia="Calibri" w:hAnsi="Calibri"/>
          <w:color w:val="000000"/>
          <w:sz w:val="21"/>
          <w:szCs w:val="21"/>
        </w:rPr>
        <w:t xml:space="preserve">Drift: emerging error signatures with no KB precedent, and accuracy trend over time.</w:t>
      </w:r>
    </w:p>
    <w:p>
      <w:pPr>
        <w:pStyle w:val="Heading2"/>
        <w:spacing w:after="100" w:before="240"/>
      </w:pPr>
      <w:r>
        <w:rPr>
          <w:rFonts w:ascii="Calibri" w:cs="Calibri" w:eastAsia="Calibri" w:hAnsi="Calibri"/>
          <w:b/>
          <w:bCs/>
          <w:color w:val="000000"/>
          <w:sz w:val="24"/>
          <w:szCs w:val="24"/>
        </w:rPr>
        <w:t xml:space="preserve">10.2 Alerting Triggers</w:t>
      </w:r>
    </w:p>
    <w:p>
      <w:pPr>
        <w:pStyle w:val="ListParagraph"/>
        <w:numPr>
          <w:ilvl w:val="0"/>
          <w:numId w:val="1"/>
        </w:numPr>
        <w:spacing w:after="60"/>
      </w:pPr>
      <w:r>
        <w:rPr>
          <w:rFonts w:ascii="Calibri" w:cs="Calibri" w:eastAsia="Calibri" w:hAnsi="Calibri"/>
          <w:color w:val="000000"/>
          <w:sz w:val="21"/>
          <w:szCs w:val="21"/>
        </w:rPr>
        <w:t xml:space="preserve">Budget threshold breach or anomalous per-incident cost.</w:t>
      </w:r>
    </w:p>
    <w:p>
      <w:pPr>
        <w:pStyle w:val="ListParagraph"/>
        <w:numPr>
          <w:ilvl w:val="0"/>
          <w:numId w:val="1"/>
        </w:numPr>
        <w:spacing w:after="60"/>
      </w:pPr>
      <w:r>
        <w:rPr>
          <w:rFonts w:ascii="Calibri" w:cs="Calibri" w:eastAsia="Calibri" w:hAnsi="Calibri"/>
          <w:color w:val="000000"/>
          <w:sz w:val="21"/>
          <w:szCs w:val="21"/>
        </w:rPr>
        <w:t xml:space="preserve">Sustained rise in reviewer rejection rate or guardrail block rate.</w:t>
      </w:r>
    </w:p>
    <w:p>
      <w:pPr>
        <w:pStyle w:val="ListParagraph"/>
        <w:numPr>
          <w:ilvl w:val="0"/>
          <w:numId w:val="1"/>
        </w:numPr>
        <w:spacing w:after="60"/>
      </w:pPr>
      <w:r>
        <w:rPr>
          <w:rFonts w:ascii="Calibri" w:cs="Calibri" w:eastAsia="Calibri" w:hAnsi="Calibri"/>
          <w:color w:val="000000"/>
          <w:sz w:val="21"/>
          <w:szCs w:val="21"/>
        </w:rPr>
        <w:t xml:space="preserve">Queue backlog beyond the agreed depth, or repeated fallback to manual routing.</w:t>
      </w:r>
    </w:p>
    <w:p>
      <w:pPr>
        <w:pStyle w:val="ListParagraph"/>
        <w:numPr>
          <w:ilvl w:val="0"/>
          <w:numId w:val="1"/>
        </w:numPr>
        <w:spacing w:after="60"/>
      </w:pPr>
      <w:r>
        <w:rPr>
          <w:rFonts w:ascii="Calibri" w:cs="Calibri" w:eastAsia="Calibri" w:hAnsi="Calibri"/>
          <w:color w:val="000000"/>
          <w:sz w:val="21"/>
          <w:szCs w:val="21"/>
        </w:rPr>
        <w:t xml:space="preserve">Retrieval evaluation regression following an index promotion.</w:t>
      </w:r>
    </w:p>
    <w:p>
      <w:pPr>
        <w:pStyle w:val="Heading2"/>
        <w:spacing w:after="100" w:before="240"/>
      </w:pPr>
      <w:r>
        <w:rPr>
          <w:rFonts w:ascii="Calibri" w:cs="Calibri" w:eastAsia="Calibri" w:hAnsi="Calibri"/>
          <w:b/>
          <w:bCs/>
          <w:color w:val="000000"/>
          <w:sz w:val="24"/>
          <w:szCs w:val="24"/>
        </w:rPr>
        <w:t xml:space="preserve">10.3 Runbook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Scenario</w:t>
            </w:r>
          </w:p>
        </w:tc>
        <w:tc>
          <w:tcPr>
            <w:tcW w:type="dxa" w:w="708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Response</w:t>
            </w:r>
          </w:p>
        </w:tc>
      </w:tr>
      <w:tr>
        <w:tc>
          <w:tcPr>
            <w:tcW w:type="dxa" w:w="3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Systematic misdiagnosis</w:t>
            </w:r>
          </w:p>
        </w:tc>
        <w:tc>
          <w:tcPr>
            <w:tcW w:type="dxa" w:w="70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Activate kill-switch, roll back prompt or index version, re-run golden set before re-enabling</w:t>
            </w:r>
          </w:p>
        </w:tc>
      </w:tr>
      <w:tr>
        <w:tc>
          <w:tcPr>
            <w:tcW w:type="dxa" w:w="30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Duplicate ticket flooding</w:t>
            </w:r>
          </w:p>
        </w:tc>
        <w:tc>
          <w:tcPr>
            <w:tcW w:type="dxa" w:w="70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Disable Integration Agent submission, review dedup thresholds, reconcile created tickets</w:t>
            </w:r>
          </w:p>
        </w:tc>
      </w:tr>
      <w:tr>
        <w:tc>
          <w:tcPr>
            <w:tcW w:type="dxa" w:w="3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Guardrail failure or bypass</w:t>
            </w:r>
          </w:p>
        </w:tc>
        <w:tc>
          <w:tcPr>
            <w:tcW w:type="dxa" w:w="70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Halt processing immediately, treat as a security incident, audit affected incidents</w:t>
            </w:r>
          </w:p>
        </w:tc>
      </w:tr>
      <w:tr>
        <w:tc>
          <w:tcPr>
            <w:tcW w:type="dxa" w:w="30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AI platform unavailable</w:t>
            </w:r>
          </w:p>
        </w:tc>
        <w:tc>
          <w:tcPr>
            <w:tcW w:type="dxa" w:w="70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Automatic fallback routing to manual L2; confirm no incidents lost from the queue</w:t>
            </w:r>
          </w:p>
        </w:tc>
      </w:tr>
      <w:tr>
        <w:tc>
          <w:tcPr>
            <w:tcW w:type="dxa" w:w="3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KB regression after promotion</w:t>
            </w:r>
          </w:p>
        </w:tc>
        <w:tc>
          <w:tcPr>
            <w:tcW w:type="dxa" w:w="70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Roll back index pointer to prior index_version and re-evaluate</w:t>
            </w:r>
          </w:p>
        </w:tc>
      </w:tr>
    </w:tbl>
    <w:p>
      <w:r>
        <w:br w:type="page"/>
      </w:r>
    </w:p>
    <w:p>
      <w:pPr>
        <w:pStyle w:val="Heading1"/>
        <w:spacing w:after="140" w:before="320"/>
      </w:pPr>
      <w:r>
        <w:rPr>
          <w:rFonts w:ascii="Calibri" w:cs="Calibri" w:eastAsia="Calibri" w:hAnsi="Calibri"/>
          <w:b/>
          <w:bCs/>
          <w:color w:val="000000"/>
          <w:sz w:val="28"/>
          <w:szCs w:val="28"/>
        </w:rPr>
        <w:t xml:space="preserve">11. Development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3200"/>
        <w:gridCol w:w="2080"/>
      </w:tblGrid>
      <w:tr>
        <w:tc>
          <w:tcPr>
            <w:tcW w:type="dxa" w:w="14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Phase</w:t>
            </w:r>
          </w:p>
        </w:tc>
        <w:tc>
          <w:tcPr>
            <w:tcW w:type="dxa" w:w="34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Workstream</w:t>
            </w:r>
          </w:p>
        </w:tc>
        <w:tc>
          <w:tcPr>
            <w:tcW w:type="dxa" w:w="32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Key Deliverables</w:t>
            </w:r>
          </w:p>
        </w:tc>
        <w:tc>
          <w:tcPr>
            <w:tcW w:type="dxa" w:w="208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Exit Criteria</w:t>
            </w:r>
          </w:p>
        </w:tc>
      </w:tr>
      <w:tr>
        <w:tc>
          <w:tcPr>
            <w:tcW w:type="dxa" w:w="1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0</w:t>
            </w:r>
          </w:p>
        </w:tc>
        <w:tc>
          <w:tcPr>
            <w:tcW w:type="dxa" w:w="3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Scoping</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Taxonomy, success metrics, auto vs escalate boundary</w:t>
            </w:r>
          </w:p>
        </w:tc>
        <w:tc>
          <w:tcPr>
            <w:tcW w:type="dxa" w:w="20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Metrics and boundary agreed</w:t>
            </w:r>
          </w:p>
        </w:tc>
      </w:tr>
      <w:tr>
        <w:tc>
          <w:tcPr>
            <w:tcW w:type="dxa" w:w="1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1</w:t>
            </w:r>
          </w:p>
        </w:tc>
        <w:tc>
          <w:tcPr>
            <w:tcW w:type="dxa" w:w="3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Foundation</w:t>
            </w:r>
          </w:p>
        </w:tc>
        <w:tc>
          <w:tcPr>
            <w:tcW w:type="dxa" w:w="32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Ingestion, incident model, queue, audit ledger</w:t>
            </w:r>
          </w:p>
        </w:tc>
        <w:tc>
          <w:tcPr>
            <w:tcW w:type="dxa" w:w="20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Incidents flow end to end with no agents</w:t>
            </w:r>
          </w:p>
        </w:tc>
      </w:tr>
      <w:tr>
        <w:tc>
          <w:tcPr>
            <w:tcW w:type="dxa" w:w="1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2</w:t>
            </w:r>
          </w:p>
        </w:tc>
        <w:tc>
          <w:tcPr>
            <w:tcW w:type="dxa" w:w="3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Knowledge base</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Source extraction, redaction, curation, chunking, indexing, evaluation set</w:t>
            </w:r>
          </w:p>
        </w:tc>
        <w:tc>
          <w:tcPr>
            <w:tcW w:type="dxa" w:w="20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Index meets retrieval acceptance criteria</w:t>
            </w:r>
          </w:p>
        </w:tc>
      </w:tr>
      <w:tr>
        <w:tc>
          <w:tcPr>
            <w:tcW w:type="dxa" w:w="1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3</w:t>
            </w:r>
          </w:p>
        </w:tc>
        <w:tc>
          <w:tcPr>
            <w:tcW w:type="dxa" w:w="3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Guardrails</w:t>
            </w:r>
          </w:p>
        </w:tc>
        <w:tc>
          <w:tcPr>
            <w:tcW w:type="dxa" w:w="32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Input and output guardrail services, fail-closed routing</w:t>
            </w:r>
          </w:p>
        </w:tc>
        <w:tc>
          <w:tcPr>
            <w:tcW w:type="dxa" w:w="20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Negative tests pass; moderation gaps remediated</w:t>
            </w:r>
          </w:p>
        </w:tc>
      </w:tr>
      <w:tr>
        <w:tc>
          <w:tcPr>
            <w:tcW w:type="dxa" w:w="1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4</w:t>
            </w:r>
          </w:p>
        </w:tc>
        <w:tc>
          <w:tcPr>
            <w:tcW w:type="dxa" w:w="3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Agents</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Parser, Diagnostic, Confidence Gate, Template Generator</w:t>
            </w:r>
          </w:p>
        </w:tc>
        <w:tc>
          <w:tcPr>
            <w:tcW w:type="dxa" w:w="20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Schema-valid outputs on sample corpus</w:t>
            </w:r>
          </w:p>
        </w:tc>
      </w:tr>
      <w:tr>
        <w:tc>
          <w:tcPr>
            <w:tcW w:type="dxa" w:w="1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5</w:t>
            </w:r>
          </w:p>
        </w:tc>
        <w:tc>
          <w:tcPr>
            <w:tcW w:type="dxa" w:w="3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Human-in-the-loop</w:t>
            </w:r>
          </w:p>
        </w:tc>
        <w:tc>
          <w:tcPr>
            <w:tcW w:type="dxa" w:w="32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Review UI, edit, approve, reject, rerun approval</w:t>
            </w:r>
          </w:p>
        </w:tc>
        <w:tc>
          <w:tcPr>
            <w:tcW w:type="dxa" w:w="20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UAT sign-off from production support</w:t>
            </w:r>
          </w:p>
        </w:tc>
      </w:tr>
      <w:tr>
        <w:tc>
          <w:tcPr>
            <w:tcW w:type="dxa" w:w="1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6</w:t>
            </w:r>
          </w:p>
        </w:tc>
        <w:tc>
          <w:tcPr>
            <w:tcW w:type="dxa" w:w="3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Integration</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Jira creation, mail dispatch, deduplication</w:t>
            </w:r>
          </w:p>
        </w:tc>
        <w:tc>
          <w:tcPr>
            <w:tcW w:type="dxa" w:w="20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No duplicates in regression run</w:t>
            </w:r>
          </w:p>
        </w:tc>
      </w:tr>
      <w:tr>
        <w:tc>
          <w:tcPr>
            <w:tcW w:type="dxa" w:w="1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7</w:t>
            </w:r>
          </w:p>
        </w:tc>
        <w:tc>
          <w:tcPr>
            <w:tcW w:type="dxa" w:w="3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Feedback loop</w:t>
            </w:r>
          </w:p>
        </w:tc>
        <w:tc>
          <w:tcPr>
            <w:tcW w:type="dxa" w:w="32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Resolution capture, SOP drafting, re-indexing with approval</w:t>
            </w:r>
          </w:p>
        </w:tc>
        <w:tc>
          <w:tcPr>
            <w:tcW w:type="dxa" w:w="20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New content improves evaluation metrics</w:t>
            </w:r>
          </w:p>
        </w:tc>
      </w:tr>
      <w:tr>
        <w:tc>
          <w:tcPr>
            <w:tcW w:type="dxa" w:w="1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8</w:t>
            </w:r>
          </w:p>
        </w:tc>
        <w:tc>
          <w:tcPr>
            <w:tcW w:type="dxa" w:w="3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Observability</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Dashboards, alerting, audit reporting</w:t>
            </w:r>
          </w:p>
        </w:tc>
        <w:tc>
          <w:tcPr>
            <w:tcW w:type="dxa" w:w="20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Metrics visible to governance stakeholders</w:t>
            </w:r>
          </w:p>
        </w:tc>
      </w:tr>
      <w:tr>
        <w:tc>
          <w:tcPr>
            <w:tcW w:type="dxa" w:w="1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9</w:t>
            </w:r>
          </w:p>
        </w:tc>
        <w:tc>
          <w:tcPr>
            <w:tcW w:type="dxa" w:w="3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Governance</w:t>
            </w:r>
          </w:p>
        </w:tc>
        <w:tc>
          <w:tcPr>
            <w:tcW w:type="dxa" w:w="32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Security, privacy and model risk review</w:t>
            </w:r>
          </w:p>
        </w:tc>
        <w:tc>
          <w:tcPr>
            <w:tcW w:type="dxa" w:w="20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Formal sign-off obtained</w:t>
            </w:r>
          </w:p>
        </w:tc>
      </w:tr>
      <w:tr>
        <w:tc>
          <w:tcPr>
            <w:tcW w:type="dxa" w:w="1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10</w:t>
            </w:r>
          </w:p>
        </w:tc>
        <w:tc>
          <w:tcPr>
            <w:tcW w:type="dxa" w:w="3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Shadow &amp; pilot</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Parallel run, calibration, narrow category pilot</w:t>
            </w:r>
          </w:p>
        </w:tc>
        <w:tc>
          <w:tcPr>
            <w:tcW w:type="dxa" w:w="20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Acceptance metrics met</w:t>
            </w:r>
          </w:p>
        </w:tc>
      </w:tr>
      <w:tr>
        <w:tc>
          <w:tcPr>
            <w:tcW w:type="dxa" w:w="1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11</w:t>
            </w:r>
          </w:p>
        </w:tc>
        <w:tc>
          <w:tcPr>
            <w:tcW w:type="dxa" w:w="34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Rollout</w:t>
            </w:r>
          </w:p>
        </w:tc>
        <w:tc>
          <w:tcPr>
            <w:tcW w:type="dxa" w:w="32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Category-by-category expansion, resilience rehearsal</w:t>
            </w:r>
          </w:p>
        </w:tc>
        <w:tc>
          <w:tcPr>
            <w:tcW w:type="dxa" w:w="20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Kill-switch tested; runbook published</w:t>
            </w:r>
          </w:p>
        </w:tc>
      </w:tr>
    </w:tbl>
    <w:p>
      <w:pPr>
        <w:pStyle w:val="Heading1"/>
        <w:spacing w:after="140" w:before="320"/>
      </w:pPr>
      <w:r>
        <w:rPr>
          <w:rFonts w:ascii="Calibri" w:cs="Calibri" w:eastAsia="Calibri" w:hAnsi="Calibri"/>
          <w:b/>
          <w:bCs/>
          <w:color w:val="000000"/>
          <w:sz w:val="28"/>
          <w:szCs w:val="28"/>
        </w:rPr>
        <w:t xml:space="preserve">12. Risks &amp;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480"/>
      </w:tblGrid>
      <w:tr>
        <w:tc>
          <w:tcPr>
            <w:tcW w:type="dxa" w:w="30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Risk</w:t>
            </w:r>
          </w:p>
        </w:tc>
        <w:tc>
          <w:tcPr>
            <w:tcW w:type="dxa" w:w="360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Impact</w:t>
            </w:r>
          </w:p>
        </w:tc>
        <w:tc>
          <w:tcPr>
            <w:tcW w:type="dxa" w:w="3480"/>
            <w:shd w:fill="D9D9D9" w:val="clear"/>
            <w:tcMar>
              <w:top w:type="dxa" w:w="70"/>
              <w:left w:type="dxa" w:w="110"/>
              <w:bottom w:type="dxa" w:w="70"/>
              <w:right w:type="dxa" w:w="110"/>
            </w:tcMar>
            <w:vAlign w:val="center"/>
          </w:tcPr>
          <w:p>
            <w:pPr>
              <w:jc w:val="left"/>
            </w:pPr>
            <w:r>
              <w:rPr>
                <w:rFonts w:ascii="Calibri" w:cs="Calibri" w:eastAsia="Calibri" w:hAnsi="Calibri"/>
                <w:b/>
                <w:bCs/>
                <w:color w:val="000000"/>
                <w:sz w:val="19"/>
                <w:szCs w:val="19"/>
              </w:rPr>
              <w:t xml:space="preserve">Mitigation</w:t>
            </w:r>
          </w:p>
        </w:tc>
      </w:tr>
      <w:tr>
        <w:tc>
          <w:tcPr>
            <w:tcW w:type="dxa" w:w="3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Plausible but wrong diagnosis</w:t>
            </w:r>
          </w:p>
        </w:tc>
        <w:tc>
          <w:tcPr>
            <w:tcW w:type="dxa" w:w="3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Misdirected support effort, incorrect closure</w:t>
            </w:r>
          </w:p>
        </w:tc>
        <w:tc>
          <w:tcPr>
            <w:tcW w:type="dxa" w:w="34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Grounding check, confidence gate, mandatory human review, golden-set monitoring</w:t>
            </w:r>
          </w:p>
        </w:tc>
      </w:tr>
      <w:tr>
        <w:tc>
          <w:tcPr>
            <w:tcW w:type="dxa" w:w="30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Sensitive data reaching the model</w:t>
            </w:r>
          </w:p>
        </w:tc>
        <w:tc>
          <w:tcPr>
            <w:tcW w:type="dxa" w:w="3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Data protection breach</w:t>
            </w:r>
          </w:p>
        </w:tc>
        <w:tc>
          <w:tcPr>
            <w:tcW w:type="dxa" w:w="34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Pre-model redaction, classification block, fail closed, egress re-screening</w:t>
            </w:r>
          </w:p>
        </w:tc>
      </w:tr>
      <w:tr>
        <w:tc>
          <w:tcPr>
            <w:tcW w:type="dxa" w:w="3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Prompt injection via log content</w:t>
            </w:r>
          </w:p>
        </w:tc>
        <w:tc>
          <w:tcPr>
            <w:tcW w:type="dxa" w:w="3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Agent behaviour subverted</w:t>
            </w:r>
          </w:p>
        </w:tc>
        <w:tc>
          <w:tcPr>
            <w:tcW w:type="dxa" w:w="34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Injection screening, typed schema outputs, proposal-only enforcement</w:t>
            </w:r>
          </w:p>
        </w:tc>
      </w:tr>
      <w:tr>
        <w:tc>
          <w:tcPr>
            <w:tcW w:type="dxa" w:w="30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Knowledge base decay</w:t>
            </w:r>
          </w:p>
        </w:tc>
        <w:tc>
          <w:tcPr>
            <w:tcW w:type="dxa" w:w="3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Accuracy degradation over time</w:t>
            </w:r>
          </w:p>
        </w:tc>
        <w:tc>
          <w:tcPr>
            <w:tcW w:type="dxa" w:w="34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Supersession control, retrieval evaluation per index version, drift alerting</w:t>
            </w:r>
          </w:p>
        </w:tc>
      </w:tr>
      <w:tr>
        <w:tc>
          <w:tcPr>
            <w:tcW w:type="dxa" w:w="3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Runaway cost from rerun loops</w:t>
            </w:r>
          </w:p>
        </w:tc>
        <w:tc>
          <w:tcPr>
            <w:tcW w:type="dxa" w:w="3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Budget breach</w:t>
            </w:r>
          </w:p>
        </w:tc>
        <w:tc>
          <w:tcPr>
            <w:tcW w:type="dxa" w:w="34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Per-incident budget ceiling and loop iteration cap</w:t>
            </w:r>
          </w:p>
        </w:tc>
      </w:tr>
      <w:tr>
        <w:tc>
          <w:tcPr>
            <w:tcW w:type="dxa" w:w="30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Over-reliance on the assistant</w:t>
            </w:r>
          </w:p>
        </w:tc>
        <w:tc>
          <w:tcPr>
            <w:tcW w:type="dxa" w:w="360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Reduced analyst scrutiny</w:t>
            </w:r>
          </w:p>
        </w:tc>
        <w:tc>
          <w:tcPr>
            <w:tcW w:type="dxa" w:w="3480"/>
            <w:shd w:fill="F2F2F2"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Confidence and evidence displayed prominently; sampling audit of approved incidents</w:t>
            </w:r>
          </w:p>
        </w:tc>
      </w:tr>
      <w:tr>
        <w:tc>
          <w:tcPr>
            <w:tcW w:type="dxa" w:w="3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Production prompts larger than ideation</w:t>
            </w:r>
          </w:p>
        </w:tc>
        <w:tc>
          <w:tcPr>
            <w:tcW w:type="dxa" w:w="3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Cost above estimate</w:t>
            </w:r>
          </w:p>
        </w:tc>
        <w:tc>
          <w:tcPr>
            <w:tcW w:type="dxa" w:w="348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000000"/>
                <w:sz w:val="19"/>
                <w:szCs w:val="19"/>
              </w:rPr>
              <w:t xml:space="preserve">Per-incident cost telemetry with alerting; estimate revised after pilot</w:t>
            </w:r>
          </w:p>
        </w:tc>
      </w:tr>
    </w:tbl>
    <w:p>
      <w:pPr>
        <w:pStyle w:val="Heading1"/>
        <w:spacing w:after="140" w:before="320"/>
      </w:pPr>
      <w:r>
        <w:rPr>
          <w:rFonts w:ascii="Calibri" w:cs="Calibri" w:eastAsia="Calibri" w:hAnsi="Calibri"/>
          <w:b/>
          <w:bCs/>
          <w:color w:val="000000"/>
          <w:sz w:val="28"/>
          <w:szCs w:val="28"/>
        </w:rPr>
        <w:t xml:space="preserve">13. Open Items</w:t>
      </w:r>
    </w:p>
    <w:p>
      <w:pPr>
        <w:pStyle w:val="ListParagraph"/>
        <w:numPr>
          <w:ilvl w:val="0"/>
          <w:numId w:val="1"/>
        </w:numPr>
        <w:spacing w:after="60"/>
      </w:pPr>
      <w:r>
        <w:rPr>
          <w:rFonts w:ascii="Calibri" w:cs="Calibri" w:eastAsia="Calibri" w:hAnsi="Calibri"/>
          <w:color w:val="000000"/>
          <w:sz w:val="21"/>
          <w:szCs w:val="21"/>
        </w:rPr>
        <w:t xml:space="preserve">Latency and availability targets to be confirmed with production support.</w:t>
      </w:r>
    </w:p>
    <w:p>
      <w:pPr>
        <w:pStyle w:val="ListParagraph"/>
        <w:numPr>
          <w:ilvl w:val="0"/>
          <w:numId w:val="1"/>
        </w:numPr>
        <w:spacing w:after="60"/>
      </w:pPr>
      <w:r>
        <w:rPr>
          <w:rFonts w:ascii="Calibri" w:cs="Calibri" w:eastAsia="Calibri" w:hAnsi="Calibri"/>
          <w:color w:val="000000"/>
          <w:sz w:val="21"/>
          <w:szCs w:val="21"/>
        </w:rPr>
        <w:t xml:space="preserve">Confidence threshold and top-N retrieval values to be set during calibration against the labelled set.</w:t>
      </w:r>
    </w:p>
    <w:p>
      <w:pPr>
        <w:pStyle w:val="ListParagraph"/>
        <w:numPr>
          <w:ilvl w:val="0"/>
          <w:numId w:val="1"/>
        </w:numPr>
        <w:spacing w:after="60"/>
      </w:pPr>
      <w:r>
        <w:rPr>
          <w:rFonts w:ascii="Calibri" w:cs="Calibri" w:eastAsia="Calibri" w:hAnsi="Calibri"/>
          <w:color w:val="000000"/>
          <w:sz w:val="21"/>
          <w:szCs w:val="21"/>
        </w:rPr>
        <w:t xml:space="preserve">Vector store selection to be confirmed against internal platform standards.</w:t>
      </w:r>
    </w:p>
    <w:p>
      <w:pPr>
        <w:pStyle w:val="ListParagraph"/>
        <w:numPr>
          <w:ilvl w:val="0"/>
          <w:numId w:val="1"/>
        </w:numPr>
        <w:spacing w:after="60"/>
      </w:pPr>
      <w:r>
        <w:rPr>
          <w:rFonts w:ascii="Calibri" w:cs="Calibri" w:eastAsia="Calibri" w:hAnsi="Calibri"/>
          <w:color w:val="000000"/>
          <w:sz w:val="21"/>
          <w:szCs w:val="21"/>
        </w:rPr>
        <w:t xml:space="preserve">Error taxonomy to be finalised and agreed before knowledge base labelling begins.</w:t>
      </w:r>
    </w:p>
    <w:p>
      <w:pPr>
        <w:pStyle w:val="ListParagraph"/>
        <w:numPr>
          <w:ilvl w:val="0"/>
          <w:numId w:val="1"/>
        </w:numPr>
        <w:spacing w:after="60"/>
      </w:pPr>
      <w:r>
        <w:rPr>
          <w:rFonts w:ascii="Calibri" w:cs="Calibri" w:eastAsia="Calibri" w:hAnsi="Calibri"/>
          <w:color w:val="000000"/>
          <w:sz w:val="21"/>
          <w:szCs w:val="21"/>
        </w:rPr>
        <w:t xml:space="preserve">Acceptance thresholds for diagnosis accuracy and false-resolution rate to be formally agreed at Phase 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2026-08-16T12:07:08.320Z</dcterms:created>
  <dcterms:modified xsi:type="dcterms:W3CDTF">2026-08-16T12:07:08.320Z</dcterms:modified>
</cp:coreProperties>
</file>

<file path=docProps/custom.xml><?xml version="1.0" encoding="utf-8"?>
<Properties xmlns="http://schemas.openxmlformats.org/officeDocument/2006/custom-properties" xmlns:vt="http://schemas.openxmlformats.org/officeDocument/2006/docPropsVTypes"/>
</file>