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Orion Controller - Power Subsystem Requirements</w:t>
      </w:r>
    </w:p>
    <w:p>
      <w:r>
        <w:t>This document captures the binding requirements for the Orion industrial controller power subsystem. Any regulator selected for the 3.3 V logic rail must satisfy every requirement in Table 1.</w:t>
      </w:r>
    </w:p>
    <w:p>
      <w:pPr>
        <w:pStyle w:val="Heading2"/>
      </w:pPr>
      <w:r>
        <w:t>Table 1: Binding Requirements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 ID prefix</w:t>
            </w:r>
          </w:p>
        </w:tc>
        <w:tc>
          <w:tcPr>
            <w:tcW w:type="dxa" w:w="4320"/>
          </w:tcPr>
          <w:p>
            <w:r>
              <w:t>ORN-PWR</w:t>
            </w:r>
          </w:p>
        </w:tc>
      </w:tr>
      <w:tr>
        <w:tc>
          <w:tcPr>
            <w:tcW w:type="dxa" w:w="4320"/>
          </w:tcPr>
          <w:p>
            <w:r>
              <w:t>Logic rail voltage</w:t>
            </w:r>
          </w:p>
        </w:tc>
        <w:tc>
          <w:tcPr>
            <w:tcW w:type="dxa" w:w="4320"/>
          </w:tcPr>
          <w:p>
            <w:r>
              <w:t>3.3 V plus or minus 2 percent</w:t>
            </w:r>
          </w:p>
        </w:tc>
      </w:tr>
      <w:tr>
        <w:tc>
          <w:tcPr>
            <w:tcW w:type="dxa" w:w="4320"/>
          </w:tcPr>
          <w:p>
            <w:r>
              <w:t>Minimum continuous current</w:t>
            </w:r>
          </w:p>
        </w:tc>
        <w:tc>
          <w:tcPr>
            <w:tcW w:type="dxa" w:w="4320"/>
          </w:tcPr>
          <w:p>
            <w:r>
              <w:t>2.0 A</w:t>
            </w:r>
          </w:p>
        </w:tc>
      </w:tr>
      <w:tr>
        <w:tc>
          <w:tcPr>
            <w:tcW w:type="dxa" w:w="4320"/>
          </w:tcPr>
          <w:p>
            <w:r>
              <w:t>Maximum output ripple</w:t>
            </w:r>
          </w:p>
        </w:tc>
        <w:tc>
          <w:tcPr>
            <w:tcW w:type="dxa" w:w="4320"/>
          </w:tcPr>
          <w:p>
            <w:r>
              <w:t>20 mV pp</w:t>
            </w:r>
          </w:p>
        </w:tc>
      </w:tr>
      <w:tr>
        <w:tc>
          <w:tcPr>
            <w:tcW w:type="dxa" w:w="4320"/>
          </w:tcPr>
          <w:p>
            <w:r>
              <w:t>Required qualification</w:t>
            </w:r>
          </w:p>
        </w:tc>
        <w:tc>
          <w:tcPr>
            <w:tcW w:type="dxa" w:w="4320"/>
          </w:tcPr>
          <w:p>
            <w:r>
              <w:t>AEC-Q100 Grade 1</w:t>
            </w:r>
          </w:p>
        </w:tc>
      </w:tr>
      <w:tr>
        <w:tc>
          <w:tcPr>
            <w:tcW w:type="dxa" w:w="4320"/>
          </w:tcPr>
          <w:p>
            <w:r>
              <w:t>Required supply commitment</w:t>
            </w:r>
          </w:p>
        </w:tc>
        <w:tc>
          <w:tcPr>
            <w:tcW w:type="dxa" w:w="4320"/>
          </w:tcPr>
          <w:p>
            <w:r>
              <w:t>10 years minimum</w:t>
            </w:r>
          </w:p>
        </w:tc>
      </w:tr>
      <w:tr>
        <w:tc>
          <w:tcPr>
            <w:tcW w:type="dxa" w:w="4320"/>
          </w:tcPr>
          <w:p>
            <w:r>
              <w:t>Maximum lead time</w:t>
            </w:r>
          </w:p>
        </w:tc>
        <w:tc>
          <w:tcPr>
            <w:tcW w:type="dxa" w:w="4320"/>
          </w:tcPr>
          <w:p>
            <w:r>
              <w:t>16 weeks</w:t>
            </w:r>
          </w:p>
        </w:tc>
      </w:tr>
      <w:tr>
        <w:tc>
          <w:tcPr>
            <w:tcW w:type="dxa" w:w="4320"/>
          </w:tcPr>
          <w:p>
            <w:r>
              <w:t>Ambient temperature range</w:t>
            </w:r>
          </w:p>
        </w:tc>
        <w:tc>
          <w:tcPr>
            <w:tcW w:type="dxa" w:w="4320"/>
          </w:tcPr>
          <w:p>
            <w:r>
              <w:t>-40 C to +125 C</w:t>
            </w:r>
          </w:p>
        </w:tc>
      </w:tr>
    </w:tbl>
    <w:p>
      <w:pPr>
        <w:pStyle w:val="Heading2"/>
      </w:pPr>
      <w:r>
        <w:t>Notes</w:t>
      </w:r>
    </w:p>
    <w:p>
      <w:r>
        <w:t>The 20 mV ripple limit is driven by the 16-bit ADC on the sensor board. Requirement ORN-PWR-014 states that any switching regulator must be followed by post-regulation if this limit cannot be met directly.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