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Evaluated 3 international research papers and benchmarked curriculum outlines from over thirteen Canadian universities; pinpointed key textbooks, culminating in comprehensive recommendations for a redesigned…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Collaborated with a professor and a team of 3 assistants to design an impactful teaching plan for a first-year Linear Algebra course using software,…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>
        <w:t>Partnering with organizations to develop an open-source textbook in PreText, transitioning concepts from pre-calculus to advanced university-level mathematics using software, engineering.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Collaborated with various operation-teams such as marketing to develop a promotional website, utilizing React.js and Tailwind CSS and designing a multi-tier sponsorship benefit system…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Built a GUI to display significant readout data when running the pod and connected a central RaspberryPi to the backend of the GUI via…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Implemented a control program for a Robotics Rover, enabling simultaneous component management through a game controller, and transmitting data with the Pysocket and Websocket…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>
        <w:t>Developed a GUI for a multi-camera system on the rover with PyGST with the use of TCP Connections and CLI tools for testing using…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>
        <w:t>Incorporated dual production pipelines with different methods to efficiently target needs such as faster or smooth streaming using software, engineering.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Worked with a group of developers in a startup to create an AI full stack study application with various tools such as flashcards generator,…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Implemented the complete functionalities in a Flask backend connected with a minimal React.js frontend along with databases using software, engineering.</w:t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Facilitated a 10-member team in redesigning the 3D printing process, integrating environmental and efficiency improvements while consulting with the team advisor and group advisors…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>
        <w:t>Researched safer alternatives and programmed the fill process in Java leading to development of 3 iterations of the process redesign using software, engineering.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>
        <w:t>Programmed an Adobe Express Add-On within 36 hours, enhancing design accessibility for users with low vision, dyslexia, and other impairments; currently undergoing review for…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>
        <w:t>Incorporating real-time feedback by analyzing colors, fonts, and layouts used with React.js, Javascript, and CSS using software, engineering.</w:t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>
        <w:t>Engineered a news aggregation app, integrating four APIs including Gemini and News API to curate personalized, concise news for users in the Google Gemini…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>
        <w:t>Leveraged the React.js framework and Tailwind CSS for the frontend, with Python Flask for the backend, to build a comprehensive full-stack social media app,…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>
        <w:t>Developed a networking platform for inexperienced tech seekers to collaborate on challenging competitions while being tutored by a trained learning model and receiving feedback…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>
        <w:t>Implemented Retrieval Augmented Generation (RAG) for training an AI model with the use of Snowflake database for storing documentation, Mistral LLM for generation, Cortex…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