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1"/>
      </w:pPr>
      <w:r>
        <w:t>Tailored Experience Highlights</w:t>
      </w:r>
    </w:p>
    <w:p>
      <w:pPr>
        <w:pStyle w:val="Heading1"/>
      </w:pPr>
      <w:r>
        <w:t>Tailored Project Highlights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customStyle="1" w:styleId="ListBullet">
    <w:name w:val="List Bullet"/>
    <w:pPr>
      <w:spacing w:before="120" w:after="120"/>
      <w:ind w:left="360" w:hanging="360"/>
    </w:pPr>
    <w:rPr>
      <w:rFonts w:ascii="Calibri" w:hAnsi="Calibri"/>
      <w:sz w:val="22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