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Компьютерное моделирование задач по лазерной физике.</w:t>
      </w:r>
      <w:r/>
    </w:p>
    <w:p>
      <w:r>
        <w:t xml:space="preserve">Задавальник на весенний семестр 202</w:t>
      </w:r>
      <w:r>
        <w:rPr>
          <w:lang w:val="en-US"/>
        </w:rPr>
        <w:t xml:space="preserve">4</w:t>
      </w:r>
      <w:r>
        <w:t xml:space="preserve">.</w:t>
      </w:r>
      <w:r/>
    </w:p>
    <w:p>
      <w:pPr>
        <w:pStyle w:val="656"/>
      </w:pPr>
      <w:r>
        <w:rPr>
          <w:lang w:val="uk-UA"/>
        </w:rPr>
        <w:t xml:space="preserve">Задача 1. </w:t>
      </w:r>
      <w:r>
        <w:t xml:space="preserve">Уравнение распространения коротких импульсов по световоду.</w:t>
      </w:r>
      <w:r/>
    </w:p>
    <w:p>
      <w:pPr>
        <w:rPr>
          <w:i/>
        </w:rPr>
      </w:pPr>
      <w:r>
        <w:t xml:space="preserve">Во всех задачах по распространению коротких импульсов длительность гауссовских импульсов задаётся </w:t>
      </w:r>
      <w:r>
        <w:t xml:space="preserve">временным параметром t</w:t>
      </w:r>
      <w:r>
        <w:rPr>
          <w:vertAlign w:val="subscript"/>
        </w:rPr>
        <w:t xml:space="preserve">0</w:t>
      </w:r>
      <w:r>
        <w:t xml:space="preserve">, таким, что </w:t>
      </w:r>
      <m:oMath>
        <m:r>
          <w:rPr>
            <w:rFonts w:ascii="Cambria Math" w:hAnsi="Cambria Math" w:eastAsia="Cambria Math" w:cs="Cambria Math"/>
          </w:rPr>
          <m:rPr/>
          <m:t>A</m:t>
        </m:r>
        <m:r>
          <w:rPr>
            <w:rFonts w:ascii="Cambria Math" w:hAnsi="Cambria Math" w:eastAsia="Cambria Math" w:cs="Cambria Math"/>
          </w:rPr>
          <m:rPr/>
          <m:t>=√</m:t>
        </m:r>
        <m:sSub>
          <m:sSubPr>
            <m:ctrlPr>
              <w:rPr>
                <w:rFonts w:ascii="Cambria Math" w:hAnsi="Cambria Math" w:eastAsia="Cambria Math" w:cs="Cambria Math"/>
              </w:rPr>
            </m:ctrlPr>
          </m:sSubPr>
          <m:e>
            <m:r>
              <w:rPr>
                <w:rFonts w:ascii="Cambria Math" w:hAnsi="Cambria Math" w:eastAsia="Cambria Math" w:cs="Cambria Math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0</m:t>
            </m:r>
          </m:sub>
        </m:sSub>
        <m:r>
          <w:rPr>
            <w:rFonts w:ascii="Cambria Math" w:hAnsi="Cambria Math" w:eastAsia="Cambria Math" w:cs="Cambria Math"/>
          </w:rPr>
          <m:rPr/>
          <m:t>exp</m:t>
        </m:r>
        <m:r>
          <w:rPr>
            <w:rFonts w:ascii="Cambria Math" w:hAnsi="Cambria Math" w:eastAsia="Cambria Math" w:cs="Cambria Math"/>
          </w:rPr>
          <m:rPr/>
          <m:t>⁡</m:t>
        </m:r>
        <m:r>
          <w:rPr>
            <w:rFonts w:ascii="Cambria Math" w:hAnsi="Cambria Math" w:eastAsia="Cambria Math" w:cs="Cambria Math"/>
          </w:rPr>
          <m:rPr/>
          <m:t>(-</m:t>
        </m:r>
        <m:f>
          <m:fPr>
            <m:ctrlPr>
              <w:rPr>
                <w:rFonts w:ascii="Cambria Math" w:hAnsi="Cambria Math" w:eastAsia="Cambria Math" w:cs="Cambria Math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</w:rPr>
                  <m:rPr/>
                  <m:t>t</m:t>
                </m:r>
              </m:e>
              <m:sup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</m:sup>
            </m:sSup>
          </m:num>
          <m:den>
            <m:sSubSup>
              <m:sSubSupPr>
                <m:alnScr m:val="off"/>
                <m:ctrlPr>
                  <w:rPr>
                    <w:rFonts w:ascii="Cambria Math" w:hAnsi="Cambria Math" w:eastAsia="Cambria Math" w:cs="Cambria Math"/>
                  </w:rPr>
                </m:ctrlPr>
              </m:sSubSupPr>
              <m:e>
                <m:r>
                  <w:rPr>
                    <w:rFonts w:ascii="Cambria Math" w:hAnsi="Cambria Math" w:eastAsia="Cambria Math" w:cs="Cambria Math"/>
                  </w:rPr>
                  <m:rPr/>
                  <m:t>t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0</m:t>
                </m:r>
              </m:sub>
              <m:sup>
                <m:r>
                  <w:rPr>
                    <w:rFonts w:ascii="Cambria Math" w:hAnsi="Cambria Math" w:eastAsia="Cambria Math" w:cs="Cambria Math"/>
                  </w:rPr>
                  <m:rPr/>
                  <m:t>2</m:t>
                </m:r>
              </m:sup>
            </m:sSubSup>
          </m:den>
        </m:f>
        <m:r>
          <w:rPr>
            <w:rFonts w:ascii="Cambria Math" w:hAnsi="Cambria Math" w:eastAsia="Cambria Math" w:cs="Cambria Math"/>
          </w:rPr>
          <m:rPr/>
          <m:t>)</m:t>
        </m:r>
      </m:oMath>
      <w:r>
        <w:t xml:space="preserve">.</w:t>
      </w:r>
      <w:r>
        <w:rPr>
          <w:i/>
        </w:rPr>
      </w:r>
    </w:p>
    <w:p>
      <w:pPr>
        <w:numPr>
          <w:ilvl w:val="0"/>
          <w:numId w:val="1"/>
        </w:numPr>
        <w:spacing w:after="0"/>
        <w:rPr>
          <w:color w:val="000000"/>
        </w:rPr>
      </w:pPr>
      <w:r/>
      <w:bookmarkStart w:id="0" w:name="_heading=h.gjdgxs"/>
      <w:r/>
      <w:bookmarkEnd w:id="0"/>
      <w:r>
        <w:rPr>
          <w:color w:val="000000"/>
        </w:rPr>
        <w:t xml:space="preserve">Спектрально ограниченный гауссовский импульс с 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w:rPr>
                <w:rFonts w:ascii="Cambria Math" w:hAnsi="Cambria Math" w:eastAsia="Cambria Math" w:cs="Cambria Math"/>
                <w:color w:val="000000"/>
              </w:rPr>
              <m:rPr/>
              <m:t>t</m:t>
            </m:r>
          </m:e>
          <m:sub>
            <m:r>
              <w:rPr>
                <w:rFonts w:ascii="Cambria Math" w:hAnsi="Cambria Math" w:eastAsia="Cambria Math" w:cs="Cambria Math"/>
                <w:color w:val="000000"/>
              </w:rPr>
              <m:rPr/>
              <m:t>0</m:t>
            </m:r>
          </m:sub>
        </m:sSub>
        <m:r>
          <w:rPr>
            <w:rFonts w:ascii="Cambria Math" w:hAnsi="Cambria Math" w:eastAsia="Cambria Math" w:cs="Cambria Math"/>
            <w:color w:val="000000"/>
          </w:rPr>
          <m:rPr/>
          <m:t>=100 фс</m:t>
        </m:r>
      </m:oMath>
      <w:r>
        <w:rPr>
          <w:color w:val="000000"/>
        </w:rPr>
        <w:t xml:space="preserve"> и длиной волны несущей 1030 нм распространяется по волоконному световоду некоторой длины, световод обладает дисперсионным параметром 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rPr/>
              <m:t>β</m:t>
            </m:r>
          </m:e>
          <m:sub>
            <m:r>
              <w:rPr>
                <w:rFonts w:ascii="Cambria Math" w:hAnsi="Cambria Math" w:eastAsia="Cambria Math" w:cs="Cambria Math"/>
                <w:color w:val="000000"/>
              </w:rPr>
              <m:rPr/>
              <m:t>2</m:t>
            </m:r>
          </m:sub>
        </m:sSub>
        <m:r>
          <w:rPr>
            <w:rFonts w:ascii="Cambria Math" w:hAnsi="Cambria Math" w:eastAsia="Cambria Math" w:cs="Cambria Math"/>
            <w:color w:val="000000"/>
          </w:rPr>
          <m:rPr/>
          <m:t>=20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w:rPr>
                <w:rFonts w:ascii="Cambria Math" w:hAnsi="Cambria Math" w:eastAsia="Cambria Math" w:cs="Cambria Math"/>
                <w:color w:val="000000"/>
              </w:rPr>
              <m:rPr/>
              <m:t>п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</w:rPr>
                </m:ctrlPr>
              </m:sSupPr>
              <m:e>
                <m:r>
                  <w:rPr>
                    <w:rFonts w:ascii="Cambria Math" w:hAnsi="Cambria Math" w:eastAsia="Cambria Math" w:cs="Cambria Math"/>
                    <w:color w:val="000000"/>
                  </w:rPr>
                  <m:rPr/>
                  <m:t>с</m:t>
                </m:r>
              </m:e>
              <m:sup>
                <m:r>
                  <w:rPr>
                    <w:rFonts w:ascii="Cambria Math" w:hAnsi="Cambria Math" w:eastAsia="Cambria Math" w:cs="Cambria Math"/>
                    <w:color w:val="000000"/>
                  </w:rPr>
                  <m:rPr/>
                  <m:t>2</m:t>
                </m:r>
              </m:sup>
            </m:sSup>
          </m:num>
          <m:den>
            <m:r>
              <w:rPr>
                <w:rFonts w:ascii="Cambria Math" w:hAnsi="Cambria Math" w:eastAsia="Cambria Math" w:cs="Cambria Math"/>
                <w:color w:val="000000"/>
              </w:rPr>
              <m:rPr/>
              <m:t>км</m:t>
            </m:r>
          </m:den>
        </m:f>
      </m:oMath>
      <w:r>
        <w:rPr>
          <w:color w:val="000000"/>
        </w:rPr>
        <w:t xml:space="preserve"> и не обладает нелинейностью. Сразу за световодом располагается спектральный гауссов фильтр, шириной 5 нм по полувысоте с центральной длиной волны 1030 нм. Найти зависимость длительности импульса на выходе описанной системы от длины волоконного све</w:t>
      </w:r>
      <w:r>
        <w:rPr>
          <w:color w:val="000000"/>
        </w:rPr>
        <w:t xml:space="preserve">товода. То же самое сделать для световода без дисперсии, но с нелинейным коэффициентом </w:t>
      </w:r>
      <m:oMath>
        <m:r>
          <w:rPr>
            <w:rFonts w:ascii="Cambria Math" w:hAnsi="Cambria Math" w:eastAsia="Cambria Math" w:cs="Cambria Math"/>
            <w:color w:val="000000"/>
          </w:rPr>
          <m:rPr/>
          <m:t>γ</m:t>
        </m:r>
        <m:r>
          <w:rPr>
            <w:rFonts w:ascii="Cambria Math" w:hAnsi="Cambria Math" w:eastAsia="Cambria Math" w:cs="Cambria Math"/>
            <w:color w:val="000000"/>
          </w:rPr>
          <m:rPr/>
          <m:t>=5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w:rPr>
                <w:rFonts w:ascii="Cambria Math" w:hAnsi="Cambria Math" w:eastAsia="Cambria Math" w:cs="Cambria Math"/>
                <w:color w:val="000000"/>
              </w:rPr>
              <m:rPr/>
              <m:t>Вт</m:t>
            </m:r>
          </m:num>
          <m:den>
            <m:r>
              <w:rPr>
                <w:rFonts w:ascii="Cambria Math" w:hAnsi="Cambria Math" w:eastAsia="Cambria Math" w:cs="Cambria Math"/>
                <w:color w:val="000000"/>
              </w:rPr>
              <m:rPr/>
              <m:t>км</m:t>
            </m:r>
          </m:den>
        </m:f>
      </m:oMath>
      <w:r>
        <w:rPr>
          <w:color w:val="000000"/>
        </w:rPr>
        <w:t xml:space="preserve">, пиковую мощность импульса взять 100 Вт.</w:t>
      </w:r>
      <w:r>
        <w:rPr>
          <w:color w:val="000000"/>
        </w:rPr>
      </w:r>
    </w:p>
    <w:p>
      <w:pPr>
        <w:numPr>
          <w:ilvl w:val="0"/>
          <w:numId w:val="1"/>
        </w:numPr>
        <w:spacing w:after="0"/>
        <w:rPr>
          <w:color w:val="000000"/>
        </w:rPr>
      </w:pPr>
      <w:r>
        <w:rPr>
          <w:color w:val="000000"/>
        </w:rPr>
        <w:t xml:space="preserve">Дано два спектрально ограниченных гауссовских импульса одинаковой длительности с </w:t>
      </w:r>
      <m:oMath>
        <m:sSub>
          <m:sSubPr>
            <m:ctrlPr>
              <w:rPr>
                <w:rFonts w:ascii="Cambria Math" w:hAnsi="Cambria Math" w:eastAsia="Cambria Math" w:cs="Cambria Math"/>
                <w:color w:val="000000"/>
              </w:rPr>
            </m:ctrlPr>
          </m:sSubPr>
          <m:e>
            <m:r>
              <w:rPr>
                <w:rFonts w:ascii="Cambria Math" w:hAnsi="Cambria Math" w:eastAsia="Cambria Math" w:cs="Cambria Math"/>
                <w:color w:val="000000"/>
              </w:rPr>
              <m:rPr/>
              <m:t>t</m:t>
            </m:r>
          </m:e>
          <m:sub>
            <m:r>
              <w:rPr>
                <w:rFonts w:ascii="Cambria Math" w:hAnsi="Cambria Math" w:eastAsia="Cambria Math" w:cs="Cambria Math"/>
                <w:color w:val="000000"/>
              </w:rPr>
              <m:rPr/>
              <m:t>0</m:t>
            </m:r>
          </m:sub>
        </m:sSub>
        <m:r>
          <w:rPr>
            <w:rFonts w:ascii="Cambria Math" w:hAnsi="Cambria Math" w:eastAsia="Cambria Math" w:cs="Cambria Math"/>
            <w:color w:val="000000"/>
          </w:rPr>
          <m:rPr/>
          <m:t>=200 фс,</m:t>
        </m:r>
      </m:oMath>
      <w:r>
        <w:rPr>
          <w:color w:val="000000"/>
        </w:rPr>
        <w:t xml:space="preserve"> один из них задержан относ</w:t>
      </w:r>
      <w:r>
        <w:rPr>
          <w:color w:val="000000"/>
        </w:rPr>
        <w:t xml:space="preserve">ительно другого на 2 пс. Построить спектр получившейся временной функции. Теперь пускай в описанной выше ситуации один из импульсов обладает пиковой мощностью 800 кВт, а второй 8 кВт. Данные импульсы проходят следующую оптическую систему: среда, обладающая</w:t>
      </w:r>
      <w:r>
        <w:rPr>
          <w:color w:val="000000"/>
        </w:rPr>
        <w:t xml:space="preserve"> только дисперсией 8 пс</w:t>
      </w:r>
      <w:r>
        <w:rPr>
          <w:color w:val="000000"/>
          <w:vertAlign w:val="superscript"/>
        </w:rPr>
        <w:t xml:space="preserve">2</w:t>
      </w:r>
      <w:r>
        <w:rPr>
          <w:color w:val="000000"/>
        </w:rPr>
        <w:t xml:space="preserve"> и не обладающая нелинейностью, среда длиной 1 м с нелинейностью </w:t>
      </w:r>
      <m:oMath>
        <m:r>
          <w:rPr>
            <w:rFonts w:ascii="Cambria Math" w:hAnsi="Cambria Math" w:eastAsia="Cambria Math" w:cs="Cambria Math"/>
            <w:color w:val="000000"/>
          </w:rPr>
          <m:rPr/>
          <m:t>γ</m:t>
        </m:r>
        <m:r>
          <w:rPr>
            <w:rFonts w:ascii="Cambria Math" w:hAnsi="Cambria Math" w:eastAsia="Cambria Math" w:cs="Cambria Math"/>
            <w:color w:val="000000"/>
          </w:rPr>
          <m:rPr/>
          <m:t>=5</m:t>
        </m:r>
        <m:f>
          <m:fPr>
            <m:ctrlPr>
              <w:rPr>
                <w:rFonts w:ascii="Cambria Math" w:hAnsi="Cambria Math" w:eastAsia="Cambria Math" w:cs="Cambria Math"/>
                <w:color w:val="000000"/>
              </w:rPr>
            </m:ctrlPr>
          </m:fPr>
          <m:num>
            <m:r>
              <w:rPr>
                <w:rFonts w:ascii="Cambria Math" w:hAnsi="Cambria Math" w:eastAsia="Cambria Math" w:cs="Cambria Math"/>
                <w:color w:val="000000"/>
              </w:rPr>
              <m:rPr/>
              <m:t>Вт</m:t>
            </m:r>
          </m:num>
          <m:den>
            <m:r>
              <w:rPr>
                <w:rFonts w:ascii="Cambria Math" w:hAnsi="Cambria Math" w:eastAsia="Cambria Math" w:cs="Cambria Math"/>
                <w:color w:val="000000"/>
              </w:rPr>
              <m:rPr/>
              <m:t>км</m:t>
            </m:r>
          </m:den>
        </m:f>
      </m:oMath>
      <w:r>
        <w:rPr>
          <w:color w:val="000000"/>
        </w:rPr>
        <w:t xml:space="preserve"> и без дисперсии, и, наконец, среда</w:t>
      </w:r>
      <w:r>
        <w:rPr>
          <w:color w:val="000000"/>
        </w:rPr>
        <w:t xml:space="preserve">, обладающая только дисперсией -8 пс</w:t>
      </w:r>
      <w:r>
        <w:rPr>
          <w:color w:val="000000"/>
          <w:vertAlign w:val="superscript"/>
        </w:rPr>
        <w:t xml:space="preserve">2</w:t>
      </w:r>
      <w:r>
        <w:rPr>
          <w:color w:val="000000"/>
        </w:rPr>
        <w:t xml:space="preserve"> и не обладающая нелинейностью. Найти форму импульса после прохождения описанной конфи</w:t>
      </w:r>
      <w:r>
        <w:rPr>
          <w:color w:val="000000"/>
        </w:rPr>
        <w:t xml:space="preserve">гурации.</w:t>
      </w:r>
      <w:r>
        <w:rPr>
          <w:color w:val="000000"/>
        </w:rPr>
      </w:r>
    </w:p>
    <w:p>
      <w:pPr>
        <w:pStyle w:val="656"/>
      </w:pPr>
      <w:r>
        <w:rPr>
          <w:lang w:val="uk-UA"/>
        </w:rPr>
        <w:t xml:space="preserve">Задача 2. </w:t>
      </w:r>
      <w:r>
        <w:t xml:space="preserve">Метод распространения пучка</w:t>
      </w:r>
      <w:r>
        <w:t xml:space="preserve"> (BPM).</w:t>
      </w:r>
      <w:r/>
    </w:p>
    <w:p>
      <w:pPr>
        <w:numPr>
          <w:ilvl w:val="0"/>
          <w:numId w:val="1"/>
        </w:numPr>
        <w:spacing w:after="0"/>
      </w:pPr>
      <w:r>
        <w:rPr>
          <w:color w:val="000000"/>
        </w:rPr>
        <w:t xml:space="preserve">Аксиально-симметричный световод со ступенчатым профилем показателя преломления, диаметром жилы 8.2 мкм, </w:t>
      </w:r>
      <m:oMath>
        <m:r>
          <w:rPr>
            <w:rFonts w:ascii="Cambria Math" w:hAnsi="Cambria Math"/>
          </w:rPr>
          <m:rPr/>
          <m:t>Δ</m:t>
        </m:r>
        <m:r>
          <w:rPr>
            <w:rFonts w:ascii="Cambria Math" w:hAnsi="Cambria Math" w:eastAsia="Cambria Math" w:cs="Cambria Math"/>
            <w:color w:val="000000"/>
          </w:rPr>
          <m:rPr/>
          <m:t>n</m:t>
        </m:r>
        <m:r>
          <w:rPr>
            <w:rFonts w:ascii="Cambria Math" w:hAnsi="Cambria Math" w:eastAsia="Cambria Math" w:cs="Cambria Math"/>
            <w:color w:val="000000"/>
          </w:rPr>
          <m:rPr/>
          <m:t>=5.5*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</w:rPr>
            </m:ctrlPr>
          </m:sSupPr>
          <m:e>
            <m:r>
              <w:rPr>
                <w:rFonts w:ascii="Cambria Math" w:hAnsi="Cambria Math" w:eastAsia="Cambria Math" w:cs="Cambria Math"/>
                <w:color w:val="000000"/>
              </w:rPr>
              <m:rPr/>
              <m:t>10</m:t>
            </m:r>
          </m:e>
          <m:sup>
            <m:r>
              <w:rPr>
                <w:rFonts w:ascii="Cambria Math" w:hAnsi="Cambria Math" w:eastAsia="Cambria Math" w:cs="Cambria Math"/>
                <w:color w:val="000000"/>
              </w:rPr>
              <m:rPr/>
              <m:t>-</m:t>
            </m:r>
            <m:r>
              <w:rPr>
                <w:rFonts w:ascii="Cambria Math" w:hAnsi="Cambria Math" w:eastAsia="Cambria Math" w:cs="Cambria Math"/>
                <w:color w:val="000000"/>
              </w:rPr>
              <m:rPr/>
              <m:t>3</m:t>
            </m:r>
          </m:sup>
        </m:sSup>
      </m:oMath>
      <w:r>
        <w:rPr>
          <w:color w:val="000000"/>
        </w:rPr>
        <w:t xml:space="preserve"> облучается идеально круглым пучком диаметром 4 мкм с длиной волны 1.55 мкм. С помощью FFT-BPM промоделировать изменение электричес</w:t>
      </w:r>
      <w:r>
        <w:rPr>
          <w:color w:val="000000"/>
        </w:rPr>
        <w:t xml:space="preserve">кого поля волны по мере распространения по световоду. Для экономии ресурсов рекомендую использовать следующие параметры вычислений: рассматриваемая область 100х100 мкм, разбиение 128х128 точек, шаг по z 0.5 мкм.</w:t>
      </w:r>
      <w:r/>
    </w:p>
    <w:p>
      <w:pPr>
        <w:numPr>
          <w:ilvl w:val="0"/>
          <w:numId w:val="1"/>
        </w:numPr>
      </w:pPr>
      <w:r>
        <w:rPr>
          <w:color w:val="000000"/>
          <w:lang w:val="uk-UA"/>
        </w:rPr>
        <w:t xml:space="preserve">«</w:t>
      </w:r>
      <w:r>
        <w:rPr>
          <w:color w:val="000000"/>
          <w:lang w:val="en-US"/>
        </w:rPr>
        <w:t xml:space="preserve">Mode filter</w:t>
      </w:r>
      <w:r>
        <w:rPr>
          <w:color w:val="000000"/>
          <w:lang w:val="uk-UA"/>
        </w:rPr>
        <w:t xml:space="preserve">»</w:t>
      </w:r>
      <w:r>
        <w:rPr>
          <w:color w:val="000000"/>
          <w:lang w:val="en-US"/>
        </w:rPr>
        <w:t xml:space="preserve">. </w:t>
      </w:r>
      <w:r>
        <w:rPr>
          <w:color w:val="000000"/>
          <w:lang w:val="uk-UA"/>
        </w:rPr>
        <w:t xml:space="preserve">Дан </w:t>
      </w:r>
      <w:r>
        <w:rPr>
          <w:color w:val="000000"/>
        </w:rPr>
        <w:t xml:space="preserve">гауссов пучок</w:t>
      </w:r>
      <w:r>
        <w:rPr>
          <w:color w:val="000000"/>
          <w:lang w:val="en-US"/>
        </w:rPr>
        <w:t xml:space="preserve"> </w:t>
      </w:r>
      <w:r>
        <w:rPr>
          <w:color w:val="000000"/>
          <w:lang w:val="uk-UA"/>
        </w:rPr>
        <w:t xml:space="preserve">диаметра </w:t>
      </w:r>
      <w:r>
        <w:rPr>
          <w:color w:val="000000"/>
          <w:lang w:val="en-US"/>
        </w:rPr>
        <w:t xml:space="preserve">w</w:t>
      </w:r>
      <w:r>
        <w:rPr>
          <w:color w:val="000000"/>
          <w:vertAlign w:val="subscript"/>
          <w:lang w:val="uk-UA"/>
        </w:rPr>
        <w:t xml:space="preserve">0</w:t>
      </w:r>
      <w:r>
        <w:rPr>
          <w:color w:val="000000"/>
          <w:lang w:val="uk-UA"/>
        </w:rPr>
        <w:t xml:space="preserve">, зашумл</w:t>
      </w:r>
      <w:r>
        <w:rPr>
          <w:color w:val="000000"/>
        </w:rPr>
        <w:t xml:space="preserve">ённый по амплитуде. Функцию шума придумать самому с возможностью перестройки характерной частоты шума. </w:t>
      </w:r>
      <w:r>
        <w:rPr>
          <w:color w:val="000000"/>
        </w:rPr>
        <w:t xml:space="preserve"> </w:t>
      </w:r>
      <w:r>
        <w:rPr>
          <w:color w:val="000000"/>
        </w:rPr>
        <w:t xml:space="preserve">Пучок фокусируется собирающей линзой, за которой расположена апертура с диаметром </w:t>
      </w:r>
      <w:r>
        <w:rPr>
          <w:color w:val="000000"/>
          <w:lang w:val="en-US"/>
        </w:rPr>
        <w:t xml:space="preserve">D</w:t>
      </w:r>
      <w:r>
        <w:rPr>
          <w:color w:val="000000"/>
        </w:rPr>
        <w:t xml:space="preserve">. За апертурой расположена коллимирующая линза. Определить оптимальное положение апертуры и её диаметр. Критерий оптимальности —  отношение параметров качества пучка </w:t>
      </w:r>
      <w:r>
        <w:t xml:space="preserve">M</w:t>
      </w:r>
      <w:r>
        <w:rPr>
          <w:vertAlign w:val="superscript"/>
          <w:lang w:val="en-US"/>
        </w:rPr>
        <w:t xml:space="preserve">2</w:t>
      </w:r>
      <w:r>
        <w:rPr>
          <w:lang w:val="en-US"/>
        </w:rPr>
        <w:t xml:space="preserve"> </w:t>
      </w:r>
      <w:r>
        <w:t xml:space="preserve">до указанной оптической системы и после неё.</w:t>
      </w:r>
      <w:r>
        <w:rPr>
          <w:color w:val="000000"/>
        </w:rPr>
        <w:t xml:space="preserve"> Размер пучка определять методом вторых моментов (</w:t>
      </w:r>
      <w:bookmarkStart w:id="1" w:name="OLE_LINK1"/>
      <w:r>
        <w:rPr>
          <w:color w:val="000000"/>
        </w:rPr>
        <w:t xml:space="preserve">по формуле эффективной площади моды</w:t>
      </w:r>
      <w:bookmarkEnd w:id="1"/>
      <w:r>
        <w:rPr>
          <w:color w:val="000000"/>
        </w:rPr>
        <w:t xml:space="preserve">). Не советую делать разбиение мельче 1024х1024 точки.</w:t>
      </w:r>
      <w:r/>
    </w:p>
    <w:p>
      <w:pPr>
        <w:pStyle w:val="656"/>
      </w:pPr>
      <w:r>
        <w:rPr>
          <w:lang w:val="uk-UA"/>
        </w:rPr>
        <w:t xml:space="preserve">Задача 3. </w:t>
      </w:r>
      <w:r>
        <w:t xml:space="preserve">Спектральный метод (Метода Рэлея-Ри</w:t>
      </w:r>
      <w:r>
        <w:t xml:space="preserve">тца).</w:t>
      </w:r>
      <w:r/>
    </w:p>
    <w:p>
      <w:pPr>
        <w:numPr>
          <w:ilvl w:val="0"/>
          <w:numId w:val="1"/>
        </w:numPr>
      </w:pPr>
      <w:r>
        <w:t xml:space="preserve">Решить стационарную </w:t>
      </w:r>
      <w:r>
        <w:t xml:space="preserve">задачу теплопроводности в квадрате 1x1 с граничными условиями Дирихле, функция на границе квадрата постоянна и равна 0. В качестве источника тепла выступает функция гаусса с дисперсией 0.2 и пиковым значением 1, положение источни</w:t>
      </w:r>
      <w:r>
        <w:t xml:space="preserve">ка тепла внутри квадрата произвольное. В качестве базисных функций взять произведение полиномов P1(x) P2(y), удовлетворяющих граничным условиям.</w:t>
      </w:r>
      <w:r/>
    </w:p>
    <w:p>
      <w:pPr>
        <w:numPr>
          <w:ilvl w:val="0"/>
          <w:numId w:val="1"/>
        </w:numPr>
      </w:pPr>
      <w:r>
        <w:t xml:space="preserve">Решить задачу на нахождение собственных функций и собственных значений оператора Гельмгольца в прямоугольнике р</w:t>
      </w:r>
      <w:r>
        <w:t xml:space="preserve">азмером 2 х 5. Внутри прямоугольника эпсилон постоянна и равна 1, на всех сторонах прямоугольника функция должна быть равна 0. В качестве базисных функций взять произведение полиномов P1(x) P2(y), удовлетворяющих граничным условиям.</w:t>
      </w:r>
      <w:r/>
    </w:p>
    <w:p>
      <w:pPr>
        <w:pStyle w:val="656"/>
      </w:pPr>
      <w:r>
        <w:rPr>
          <w:lang w:val="uk-UA"/>
        </w:rPr>
        <w:t xml:space="preserve">Задача 4. </w:t>
      </w:r>
      <w:r>
        <w:t xml:space="preserve">Метод граничных элемент</w:t>
      </w:r>
      <w:r>
        <w:t xml:space="preserve">ов.</w:t>
      </w:r>
      <w:r/>
    </w:p>
    <w:p>
      <w:pPr>
        <w:numPr>
          <w:ilvl w:val="0"/>
          <w:numId w:val="1"/>
        </w:numPr>
      </w:pPr>
      <w:r>
        <w:t xml:space="preserve">Найти распределение электрического поля конденсатора, представляющего собой две плоские обкладки, размещённые в одной плоскости. Задачу решать в двухмерном пространстве, длина каждой из обкладок - 3мм, расстояние между обкладками 3 мм, одна из обкладок</w:t>
      </w:r>
      <w:r>
        <w:t xml:space="preserve"> имеет нулевой потенциал, вторая + 30 В.</w:t>
      </w:r>
      <w:r/>
    </w:p>
    <w:p>
      <w:pPr>
        <w:numPr>
          <w:ilvl w:val="0"/>
          <w:numId w:val="1"/>
        </w:numPr>
      </w:pPr>
      <w:r>
        <w:t xml:space="preserve">Найти распределение электрического поля плоскопараллельного конденсатора. Задачу решать в двухмерном пространстве, длина каждой из обкладок - 20мм, расстояние между обкладками 20 мм, одна из обкладок имеет потенциал</w:t>
      </w:r>
      <w:r>
        <w:t xml:space="preserve"> + 10В, а, вторая - 10 В.</w:t>
      </w:r>
      <w:r/>
    </w:p>
    <w:p>
      <w:pPr>
        <w:pStyle w:val="656"/>
      </w:pPr>
      <w:r>
        <w:rPr>
          <w:lang w:val="uk-UA"/>
        </w:rPr>
        <w:t xml:space="preserve">Задача 5. </w:t>
      </w:r>
      <w:r>
        <w:t xml:space="preserve">Метод конечных элементов</w:t>
      </w:r>
      <w:r>
        <w:t xml:space="preserve">.</w:t>
      </w:r>
      <w:r/>
    </w:p>
    <w:p>
      <w:pPr>
        <w:numPr>
          <w:ilvl w:val="0"/>
          <w:numId w:val="1"/>
        </w:numPr>
      </w:pPr>
      <w:r>
        <w:t xml:space="preserve">Найти моды волокна с геометрией из </w:t>
      </w:r>
      <w:r>
        <w:rPr>
          <w:lang w:val="uk-UA"/>
        </w:rPr>
        <w:t xml:space="preserve">З</w:t>
      </w:r>
      <w:r>
        <w:t xml:space="preserve">адачи </w:t>
      </w:r>
      <w:r>
        <w:rPr>
          <w:lang w:val="uk-UA"/>
        </w:rPr>
        <w:t xml:space="preserve">2</w:t>
      </w:r>
      <w:r>
        <w:t xml:space="preserve"> при изгибе волокна в кольцо диаметром 3 см. </w:t>
      </w:r>
      <w:r/>
    </w:p>
    <w:p>
      <w:pPr>
        <w:numPr>
          <w:ilvl w:val="0"/>
          <w:numId w:val="1"/>
        </w:numPr>
      </w:pPr>
      <w:r>
        <w:t xml:space="preserve">Решить </w:t>
      </w:r>
      <w:r>
        <w:rPr>
          <w:lang w:val="uk-UA"/>
        </w:rPr>
        <w:t xml:space="preserve">Задачу 3</w:t>
      </w:r>
      <w:r>
        <w:t xml:space="preserve"> методом конечных элементов.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alibri">
    <w:panose1 w:val="020F0502020204030204"/>
  </w:font>
  <w:font w:name="Arial">
    <w:panose1 w:val="020B0604020202020204"/>
  </w:font>
  <w:font w:name="Georgia">
    <w:panose1 w:val="02040503050406030204"/>
  </w:font>
  <w:font w:name="SimSun">
    <w:panose1 w:val="02020603020101020101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62"/>
    <w:link w:val="65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62"/>
    <w:link w:val="65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62"/>
    <w:link w:val="658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62"/>
    <w:link w:val="659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62"/>
    <w:link w:val="660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62"/>
    <w:link w:val="661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55"/>
    <w:next w:val="65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62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55"/>
    <w:next w:val="65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62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55"/>
    <w:next w:val="65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62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62"/>
    <w:link w:val="665"/>
    <w:uiPriority w:val="10"/>
    <w:rPr>
      <w:sz w:val="48"/>
      <w:szCs w:val="48"/>
    </w:rPr>
  </w:style>
  <w:style w:type="character" w:styleId="37">
    <w:name w:val="Subtitle Char"/>
    <w:basedOn w:val="662"/>
    <w:link w:val="666"/>
    <w:uiPriority w:val="11"/>
    <w:rPr>
      <w:sz w:val="24"/>
      <w:szCs w:val="24"/>
    </w:rPr>
  </w:style>
  <w:style w:type="paragraph" w:styleId="38">
    <w:name w:val="Quote"/>
    <w:basedOn w:val="655"/>
    <w:next w:val="65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55"/>
    <w:next w:val="65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5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62"/>
    <w:link w:val="42"/>
    <w:uiPriority w:val="99"/>
  </w:style>
  <w:style w:type="paragraph" w:styleId="44">
    <w:name w:val="Footer"/>
    <w:basedOn w:val="65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62"/>
    <w:link w:val="44"/>
    <w:uiPriority w:val="99"/>
  </w:style>
  <w:style w:type="paragraph" w:styleId="46">
    <w:name w:val="Caption"/>
    <w:basedOn w:val="655"/>
    <w:next w:val="65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5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62"/>
    <w:uiPriority w:val="99"/>
    <w:unhideWhenUsed/>
    <w:rPr>
      <w:vertAlign w:val="superscript"/>
    </w:rPr>
  </w:style>
  <w:style w:type="paragraph" w:styleId="178">
    <w:name w:val="endnote text"/>
    <w:basedOn w:val="65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62"/>
    <w:uiPriority w:val="99"/>
    <w:semiHidden/>
    <w:unhideWhenUsed/>
    <w:rPr>
      <w:vertAlign w:val="superscript"/>
    </w:rPr>
  </w:style>
  <w:style w:type="paragraph" w:styleId="181">
    <w:name w:val="toc 1"/>
    <w:basedOn w:val="655"/>
    <w:next w:val="65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55"/>
    <w:next w:val="65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55"/>
    <w:next w:val="65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55"/>
    <w:next w:val="65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55"/>
    <w:next w:val="65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55"/>
    <w:next w:val="65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55"/>
    <w:next w:val="65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55"/>
    <w:next w:val="65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55"/>
    <w:next w:val="65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55"/>
    <w:next w:val="655"/>
    <w:uiPriority w:val="99"/>
    <w:unhideWhenUsed/>
    <w:pPr>
      <w:spacing w:after="0" w:afterAutospacing="0"/>
    </w:pPr>
  </w:style>
  <w:style w:type="paragraph" w:styleId="655" w:default="1">
    <w:name w:val="Normal"/>
    <w:qFormat/>
    <w:pPr>
      <w:spacing w:after="160" w:line="259" w:lineRule="auto"/>
    </w:pPr>
    <w:rPr>
      <w:rFonts w:ascii="Calibri" w:hAnsi="Calibri" w:eastAsia="Calibri" w:cs="Calibri"/>
      <w:sz w:val="22"/>
      <w:szCs w:val="22"/>
    </w:rPr>
  </w:style>
  <w:style w:type="paragraph" w:styleId="656">
    <w:name w:val="Heading 1"/>
    <w:basedOn w:val="655"/>
    <w:next w:val="655"/>
    <w:link w:val="669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657">
    <w:name w:val="Heading 2"/>
    <w:basedOn w:val="655"/>
    <w:next w:val="655"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58">
    <w:name w:val="Heading 3"/>
    <w:basedOn w:val="655"/>
    <w:next w:val="655"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59">
    <w:name w:val="Heading 4"/>
    <w:basedOn w:val="655"/>
    <w:next w:val="655"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660">
    <w:name w:val="Heading 5"/>
    <w:basedOn w:val="655"/>
    <w:next w:val="655"/>
    <w:qFormat/>
    <w:pPr>
      <w:keepLines/>
      <w:keepNext/>
      <w:spacing w:before="220" w:after="40"/>
      <w:outlineLvl w:val="4"/>
    </w:pPr>
    <w:rPr>
      <w:b/>
    </w:rPr>
  </w:style>
  <w:style w:type="paragraph" w:styleId="661">
    <w:name w:val="Heading 6"/>
    <w:basedOn w:val="655"/>
    <w:next w:val="655"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62" w:default="1">
    <w:name w:val="Default Paragraph Font"/>
    <w:uiPriority w:val="1"/>
    <w:unhideWhenUsed/>
  </w:style>
  <w:style w:type="table" w:styleId="6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4" w:default="1">
    <w:name w:val="No List"/>
    <w:uiPriority w:val="99"/>
    <w:semiHidden/>
    <w:unhideWhenUsed/>
  </w:style>
  <w:style w:type="paragraph" w:styleId="665">
    <w:name w:val="Title"/>
    <w:basedOn w:val="655"/>
    <w:next w:val="655"/>
    <w:qFormat/>
    <w:pPr>
      <w:keepLines/>
      <w:keepNext/>
      <w:spacing w:before="480" w:after="120"/>
    </w:pPr>
    <w:rPr>
      <w:b/>
      <w:sz w:val="72"/>
      <w:szCs w:val="72"/>
    </w:rPr>
  </w:style>
  <w:style w:type="paragraph" w:styleId="666">
    <w:name w:val="Subtitle"/>
    <w:basedOn w:val="655"/>
    <w:next w:val="655"/>
    <w:qFormat/>
    <w:pPr>
      <w:keepLines/>
      <w:keepNext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667" w:customStyle="1">
    <w:name w:val="Table Normal1"/>
    <w:qFormat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68">
    <w:name w:val="List Paragraph"/>
    <w:basedOn w:val="655"/>
    <w:uiPriority w:val="34"/>
    <w:qFormat/>
    <w:pPr>
      <w:contextualSpacing/>
      <w:ind w:left="720"/>
    </w:pPr>
  </w:style>
  <w:style w:type="character" w:styleId="669" w:customStyle="1">
    <w:name w:val="Заголовок 1 Знак"/>
    <w:basedOn w:val="662"/>
    <w:link w:val="656"/>
    <w:uiPriority w:val="9"/>
    <w:qFormat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670">
    <w:name w:val="Placeholder Text"/>
    <w:basedOn w:val="662"/>
    <w:uiPriority w:val="99"/>
    <w:semiHidden/>
    <w:qFormat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P8CCGQMVWPTfwnsDFAaIE4CkKg==">AMUW2mWak3qGBr6helfAaN9pjCGdZoj0J0pSGsSk5L7VTb0ZHVHsx2823bi8RP1QJuuyFWrNwhVk1YPTdHrkomW9K5vC+CdNiliDiOaHkGzaEqpbC0KjIrf8I7qaDOArYi6KfopRZOy9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Baranov</dc:creator>
  <cp:lastModifiedBy>Алексей Юрьевич Остапив</cp:lastModifiedBy>
  <cp:revision>10</cp:revision>
  <dcterms:created xsi:type="dcterms:W3CDTF">2021-03-10T11:22:00Z</dcterms:created>
  <dcterms:modified xsi:type="dcterms:W3CDTF">2024-02-15T16:33:14Z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1049-11.2.0.10132</vt:lpwstr>
  </property>
</Properties>
</file>