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2026大数据挑战赛备战指南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一、赛事与赛题核心概括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本次赛事为</w:t>
      </w:r>
      <w:r>
        <w:rPr>
          <w:rFonts w:eastAsia="等线" w:ascii="Arial" w:cs="Arial" w:hAnsi="Arial"/>
          <w:b w:val="true"/>
          <w:sz w:val="22"/>
        </w:rPr>
        <w:t>2026 中国高校计算机大赛 —— 大数据挑战赛（THU-BDC2026）</w:t>
      </w:r>
      <w:r>
        <w:rPr>
          <w:rFonts w:eastAsia="等线" w:ascii="Arial" w:cs="Arial" w:hAnsi="Arial"/>
          <w:sz w:val="22"/>
        </w:rPr>
        <w:t>，核心赛题为</w:t>
      </w:r>
      <w:r>
        <w:rPr>
          <w:rFonts w:eastAsia="等线" w:ascii="Arial" w:cs="Arial" w:hAnsi="Arial"/>
          <w:b w:val="true"/>
          <w:sz w:val="22"/>
        </w:rPr>
        <w:t>基于历史数据预测未来股价收益</w:t>
      </w:r>
      <w:r>
        <w:rPr>
          <w:rFonts w:eastAsia="等线" w:ascii="Arial" w:cs="Arial" w:hAnsi="Arial"/>
          <w:sz w:val="22"/>
        </w:rPr>
        <w:t>，具体目标如下：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基于沪深 300 指数成分股的历史股价数据，构建机器学习模型，预测未来一周收益最大的股票投资组合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最终输出的投资组合最多包含 5 只股票，权重累计占比不超过 1（剩余部分为持有现金，现金无收益）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赛事以投资组合的未来一周总收益率为核心评估指标，选手需超越官方基准程序的收益率才有资格参与最终排名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二、参赛备战计划清单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以下为按时间线梳理的备战任务清单，当前时间为 2026 年 4 月 19 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报名组队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即日起 - 7 月 15 日 12:00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登录竞赛平台 (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https://www.heywhale.com/u/2026BDC</w:t>
              </w:r>
            </w:hyperlink>
            <w:r>
              <w:rPr>
                <w:rFonts w:eastAsia="等线" w:ascii="Arial" w:cs="Arial" w:hAnsi="Arial"/>
                <w:sz w:val="22"/>
              </w:rPr>
              <w:t>) 完成注册与实名认证</w:t>
              <w:br/>
              <w:t>2. 完成队伍组建（单人参赛也需创建单人队伍）</w:t>
              <w:br/>
            </w:r>
            <w:r>
              <w:rPr>
                <w:rFonts w:eastAsia="等线" w:ascii="Arial" w:cs="Arial" w:hAnsi="Arial"/>
                <w:sz w:val="22"/>
              </w:rPr>
              <w:t>3. 若所在学校有校内选拔赛，完成校赛报名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部分学校校赛截止时间早于全国报名截止（如成都信息工程大学校赛截止 5 月 25 日），需提前关注学校教务处通知</w:t>
              <w:br/>
            </w:r>
            <w:r>
              <w:rPr>
                <w:rFonts w:eastAsia="等线" w:ascii="Arial" w:cs="Arial" w:hAnsi="Arial"/>
                <w:sz w:val="22"/>
              </w:rPr>
              <w:t>2. 报名全程免费，无需缴纳费用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即日起 - 5 月 29 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拉取官方基准代码仓库：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https://github.com/Sherlock1956/THU-BDC2026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  <w:t>2. 下载基准数据集，完成本地环境配置，跑通 baseline 流程</w:t>
              <w:br/>
              <w:t>3. 验证本地收益率评估逻辑，确保与官方规则对齐</w:t>
              <w:br/>
            </w:r>
            <w:r>
              <w:rPr>
                <w:rFonts w:eastAsia="等线" w:ascii="Arial" w:cs="Arial" w:hAnsi="Arial"/>
                <w:sz w:val="22"/>
              </w:rPr>
              <w:t>4. 调研可补充的公开免费股票相关数据，规划数据增强方案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基准代码提供了基础的模型与数据下载脚本，可作为起步参考</w:t>
              <w:br/>
            </w:r>
            <w:r>
              <w:rPr>
                <w:rFonts w:eastAsia="等线" w:ascii="Arial" w:cs="Arial" w:hAnsi="Arial"/>
                <w:sz w:val="22"/>
              </w:rPr>
              <w:t>2. 提前梳理数据来源，为后续提交说明做准备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线上赛第一次提交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月 30 日 8:00 - 5 月 31 日 23:59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完成第一次模型训练与结果生成</w:t>
              <w:br/>
              <w:t>2. 提交第一次结果文件与基础代码</w:t>
              <w:br/>
            </w:r>
            <w:r>
              <w:rPr>
                <w:rFonts w:eastAsia="等线" w:ascii="Arial" w:cs="Arial" w:hAnsi="Arial"/>
                <w:sz w:val="22"/>
              </w:rPr>
              <w:t>3. 根据提交后的反馈，初步定位模型优化方向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这是线上赛的首次评测窗口，可快速验证模型的基础有效性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模型迭代优化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月 1 日 - 6 月 26 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针对第一次提交的结果，优化特征工程、模型结构</w:t>
              <w:br/>
              <w:t>2. 尝试引入合规的公开数据增强模型效果</w:t>
              <w:br/>
            </w:r>
            <w:r>
              <w:rPr>
                <w:rFonts w:eastAsia="等线" w:ascii="Arial" w:cs="Arial" w:hAnsi="Arial"/>
                <w:sz w:val="22"/>
              </w:rPr>
              <w:t>3. 开展回测验证，确保模型的泛化能力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重点关注模型的可复现性，保留完整的训练与数据处理流程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线上赛第二次提交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月 27 日 8:00 - 6 月 28 日 23:59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提交优化后的模型结果与代码</w:t>
              <w:br/>
            </w:r>
            <w:r>
              <w:rPr>
                <w:rFonts w:eastAsia="等线" w:ascii="Arial" w:cs="Arial" w:hAnsi="Arial"/>
                <w:sz w:val="22"/>
              </w:rPr>
              <w:t>2. 进一步验证优化效果，调整最终方案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本次提交后可明确当前队伍的排名区间，为最后冲刺做准备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最终冲刺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月 29 日 - 7 月 31 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完成最终的模型调优，确保收益率超越基准程序</w:t>
              <w:br/>
              <w:t>2. 整理所有使用的开源数据的来源说明</w:t>
              <w:br/>
              <w:t>3. 完成代码的注释与打包，确保可复现</w:t>
              <w:br/>
            </w:r>
            <w:r>
              <w:rPr>
                <w:rFonts w:eastAsia="等线" w:ascii="Arial" w:cs="Arial" w:hAnsi="Arial"/>
                <w:sz w:val="22"/>
              </w:rPr>
              <w:t>4. 准备最终的提交材料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预留足够的时间处理提交前的格式校验，避免格式错误导致提交失败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线上赛最终提交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月 1 日 8:00 - 8 月 2 日 23:59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提交最终的结果文件、完整模型代码、数据来源说明</w:t>
              <w:br/>
            </w:r>
            <w:r>
              <w:rPr>
                <w:rFonts w:eastAsia="等线" w:ascii="Arial" w:cs="Arial" w:hAnsi="Arial"/>
                <w:sz w:val="22"/>
              </w:rPr>
              <w:t>2. 确认提交成功，等待官方审核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这是线上赛的最后一次提交机会，提交后系统将关闭提交通道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决赛备战（若晋级）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月 - 决赛前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准备答辩 PPT 与模型演示材料</w:t>
              <w:br/>
              <w:t>2. 梳理模型的创新点与可复现性说明</w:t>
              <w:br/>
            </w:r>
            <w:r>
              <w:rPr>
                <w:rFonts w:eastAsia="等线" w:ascii="Arial" w:cs="Arial" w:hAnsi="Arial"/>
                <w:sz w:val="22"/>
              </w:rPr>
              <w:t>3. 准备现场答辩的问答材料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模型的创新性与可复现性将作为决赛的重要参考指标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三、参赛要求与限制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参赛资格要求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面向全球开放，不限年龄、国籍，符合以下条件即可报名：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高等学校在校学生（含高职高专、本科生、研究生）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科研机构及企业从业人员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承办与支持单位涉密人员不得参赛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必须以队伍形式报名，单人参赛也需创建单人队伍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数据与模型限制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可使用的所有数据必须是</w:t>
      </w:r>
      <w:r>
        <w:rPr>
          <w:rFonts w:eastAsia="等线" w:ascii="Arial" w:cs="Arial" w:hAnsi="Arial"/>
          <w:b w:val="true"/>
          <w:sz w:val="22"/>
        </w:rPr>
        <w:t>所有人都可以免费公开下载使用</w:t>
      </w:r>
      <w:r>
        <w:rPr>
          <w:rFonts w:eastAsia="等线" w:ascii="Arial" w:cs="Arial" w:hAnsi="Arial"/>
          <w:sz w:val="22"/>
        </w:rPr>
        <w:t>的，无格式、内容、范围限制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若使用了额外的开源数据集，必须在提交结果中明确说明数据的获取来源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预训练模型要求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可使用开源预训练模型，但需满足以下条件之一：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使用非商业化公开数据集训练得到的预训练模型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2026 年 4 月 1 日前，已经在学术期刊、正规会议（不含 arxiv）、Pytorch/Tensorflow/Github 等平台公开发表的预训练模型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模型要求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模型必须具备可复现性，创新性将作为重要的参考指标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提交文件规范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结果文件必须为 </w:t>
      </w:r>
      <w:r>
        <w:rPr>
          <w:rFonts w:eastAsia="Consolas" w:ascii="Consolas" w:cs="Consolas" w:hAnsi="Consolas"/>
          <w:sz w:val="22"/>
          <w:shd w:fill="EFF0F1"/>
        </w:rPr>
        <w:t>result.csv</w:t>
      </w:r>
      <w:r>
        <w:rPr>
          <w:rFonts w:eastAsia="等线" w:ascii="Arial" w:cs="Arial" w:hAnsi="Arial"/>
          <w:sz w:val="22"/>
        </w:rPr>
        <w:t>，采用 UTF-8 编码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文件必须包含表头：</w:t>
      </w:r>
      <w:r>
        <w:rPr>
          <w:rFonts w:eastAsia="Consolas" w:ascii="Consolas" w:cs="Consolas" w:hAnsi="Consolas"/>
          <w:sz w:val="22"/>
          <w:shd w:fill="EFF0F1"/>
        </w:rPr>
        <w:t>stock_id,weight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最多包含 5 个不同的股票代码，每行一个股票及其权重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所有权重的累加和必须≤1，不足 1 的部分视为持有现金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每行必须使用英文逗号 </w:t>
      </w:r>
      <w:r>
        <w:rPr>
          <w:rFonts w:eastAsia="Consolas" w:ascii="Consolas" w:cs="Consolas" w:hAnsi="Consolas"/>
          <w:sz w:val="22"/>
          <w:shd w:fill="EFF0F1"/>
        </w:rPr>
        <w:t>,</w:t>
      </w:r>
      <w:r>
        <w:rPr>
          <w:rFonts w:eastAsia="等线" w:ascii="Arial" w:cs="Arial" w:hAnsi="Arial"/>
          <w:sz w:val="22"/>
        </w:rPr>
        <w:t xml:space="preserve"> 进行分割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提交时必须同步提交完整的模型代码，以及使用的开源数据的来源说明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排名与奖励限制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只有当队伍的总投资组合收益率</w:t>
      </w:r>
      <w:r>
        <w:rPr>
          <w:rFonts w:eastAsia="等线" w:ascii="Arial" w:cs="Arial" w:hAnsi="Arial"/>
          <w:b w:val="true"/>
          <w:sz w:val="22"/>
        </w:rPr>
        <w:t>大于官方基准程序的收益率</w:t>
      </w:r>
      <w:r>
        <w:rPr>
          <w:rFonts w:eastAsia="等线" w:ascii="Arial" w:cs="Arial" w:hAnsi="Arial"/>
          <w:sz w:val="22"/>
        </w:rPr>
        <w:t>时，才能参与最终排名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最终排名按总投资组合收益率从大到小排序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总收益率低于基准程序的队伍，无法获得任何名次奖励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投资组合收益率的计算规则：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单只股票收益率：</w:t>
      </w:r>
      <w:r>
        <w:rPr>
          <w:rFonts w:eastAsia="Consolas" w:ascii="Consolas" w:cs="Consolas" w:hAnsi="Consolas"/>
          <w:sz w:val="22"/>
          <w:shd w:fill="EFF0F1"/>
        </w:rPr>
        <w:t>(T+5日开盘价 - T+1日开盘价) / T+1日开盘价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总收益率：各股票的收益率按权重加权求和，现金部分收益率为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5547">
    <w:lvl>
      <w:numFmt w:val="bullet"/>
      <w:suff w:val="tab"/>
      <w:lvlText w:val="•"/>
      <w:rPr>
        <w:color w:val="3370ff"/>
      </w:rPr>
    </w:lvl>
  </w:abstractNum>
  <w:abstractNum w:abstractNumId="835548">
    <w:lvl>
      <w:numFmt w:val="bullet"/>
      <w:suff w:val="tab"/>
      <w:lvlText w:val="•"/>
      <w:rPr>
        <w:color w:val="3370ff"/>
      </w:rPr>
    </w:lvl>
  </w:abstractNum>
  <w:abstractNum w:abstractNumId="835549">
    <w:lvl>
      <w:numFmt w:val="bullet"/>
      <w:suff w:val="tab"/>
      <w:lvlText w:val="•"/>
      <w:rPr>
        <w:color w:val="3370ff"/>
      </w:rPr>
    </w:lvl>
  </w:abstractNum>
  <w:abstractNum w:abstractNumId="835550">
    <w:lvl>
      <w:numFmt w:val="bullet"/>
      <w:suff w:val="tab"/>
      <w:lvlText w:val="•"/>
      <w:rPr>
        <w:color w:val="3370ff"/>
      </w:rPr>
    </w:lvl>
  </w:abstractNum>
  <w:abstractNum w:abstractNumId="835551">
    <w:lvl>
      <w:numFmt w:val="bullet"/>
      <w:suff w:val="tab"/>
      <w:lvlText w:val="￮"/>
      <w:rPr>
        <w:color w:val="3370ff"/>
      </w:rPr>
    </w:lvl>
  </w:abstractNum>
  <w:abstractNum w:abstractNumId="835552">
    <w:lvl>
      <w:numFmt w:val="bullet"/>
      <w:suff w:val="tab"/>
      <w:lvlText w:val="￮"/>
      <w:rPr>
        <w:color w:val="3370ff"/>
      </w:rPr>
    </w:lvl>
  </w:abstractNum>
  <w:abstractNum w:abstractNumId="835553">
    <w:lvl>
      <w:numFmt w:val="bullet"/>
      <w:suff w:val="tab"/>
      <w:lvlText w:val="•"/>
      <w:rPr>
        <w:color w:val="3370ff"/>
      </w:rPr>
    </w:lvl>
  </w:abstractNum>
  <w:abstractNum w:abstractNumId="835554">
    <w:lvl>
      <w:numFmt w:val="bullet"/>
      <w:suff w:val="tab"/>
      <w:lvlText w:val="•"/>
      <w:rPr>
        <w:color w:val="3370ff"/>
      </w:rPr>
    </w:lvl>
  </w:abstractNum>
  <w:abstractNum w:abstractNumId="835555">
    <w:lvl>
      <w:numFmt w:val="bullet"/>
      <w:suff w:val="tab"/>
      <w:lvlText w:val="•"/>
      <w:rPr>
        <w:color w:val="3370ff"/>
      </w:rPr>
    </w:lvl>
  </w:abstractNum>
  <w:abstractNum w:abstractNumId="835556">
    <w:lvl>
      <w:start w:val="1"/>
      <w:numFmt w:val="lowerLetter"/>
      <w:suff w:val="tab"/>
      <w:lvlText w:val="%1."/>
      <w:rPr>
        <w:color w:val="3370ff"/>
      </w:rPr>
    </w:lvl>
  </w:abstractNum>
  <w:abstractNum w:abstractNumId="835557">
    <w:lvl>
      <w:start w:val="2"/>
      <w:numFmt w:val="lowerLetter"/>
      <w:suff w:val="tab"/>
      <w:lvlText w:val="%1."/>
      <w:rPr>
        <w:color w:val="3370ff"/>
      </w:rPr>
    </w:lvl>
  </w:abstractNum>
  <w:abstractNum w:abstractNumId="835558">
    <w:lvl>
      <w:numFmt w:val="bullet"/>
      <w:suff w:val="tab"/>
      <w:lvlText w:val="•"/>
      <w:rPr>
        <w:color w:val="3370ff"/>
      </w:rPr>
    </w:lvl>
  </w:abstractNum>
  <w:abstractNum w:abstractNumId="835559">
    <w:lvl>
      <w:start w:val="1"/>
      <w:numFmt w:val="lowerLetter"/>
      <w:suff w:val="tab"/>
      <w:lvlText w:val="%1."/>
      <w:rPr>
        <w:color w:val="3370ff"/>
      </w:rPr>
    </w:lvl>
  </w:abstractNum>
  <w:abstractNum w:abstractNumId="835560">
    <w:lvl>
      <w:start w:val="2"/>
      <w:numFmt w:val="lowerLetter"/>
      <w:suff w:val="tab"/>
      <w:lvlText w:val="%1."/>
      <w:rPr>
        <w:color w:val="3370ff"/>
      </w:rPr>
    </w:lvl>
  </w:abstractNum>
  <w:abstractNum w:abstractNumId="835561">
    <w:lvl>
      <w:numFmt w:val="bullet"/>
      <w:suff w:val="tab"/>
      <w:lvlText w:val="•"/>
      <w:rPr>
        <w:color w:val="3370ff"/>
      </w:rPr>
    </w:lvl>
  </w:abstractNum>
  <w:abstractNum w:abstractNumId="835562">
    <w:lvl>
      <w:numFmt w:val="bullet"/>
      <w:suff w:val="tab"/>
      <w:lvlText w:val="•"/>
      <w:rPr>
        <w:color w:val="3370ff"/>
      </w:rPr>
    </w:lvl>
  </w:abstractNum>
  <w:abstractNum w:abstractNumId="835563">
    <w:lvl>
      <w:numFmt w:val="bullet"/>
      <w:suff w:val="tab"/>
      <w:lvlText w:val="•"/>
      <w:rPr>
        <w:color w:val="3370ff"/>
      </w:rPr>
    </w:lvl>
  </w:abstractNum>
  <w:abstractNum w:abstractNumId="835564">
    <w:lvl>
      <w:numFmt w:val="bullet"/>
      <w:suff w:val="tab"/>
      <w:lvlText w:val="•"/>
      <w:rPr>
        <w:color w:val="3370ff"/>
      </w:rPr>
    </w:lvl>
  </w:abstractNum>
  <w:abstractNum w:abstractNumId="835565">
    <w:lvl>
      <w:numFmt w:val="bullet"/>
      <w:suff w:val="tab"/>
      <w:lvlText w:val="•"/>
      <w:rPr>
        <w:color w:val="3370ff"/>
      </w:rPr>
    </w:lvl>
  </w:abstractNum>
  <w:abstractNum w:abstractNumId="835566">
    <w:lvl>
      <w:numFmt w:val="bullet"/>
      <w:suff w:val="tab"/>
      <w:lvlText w:val="•"/>
      <w:rPr>
        <w:color w:val="3370ff"/>
      </w:rPr>
    </w:lvl>
  </w:abstractNum>
  <w:abstractNum w:abstractNumId="835567">
    <w:lvl>
      <w:numFmt w:val="bullet"/>
      <w:suff w:val="tab"/>
      <w:lvlText w:val="•"/>
      <w:rPr>
        <w:color w:val="3370ff"/>
      </w:rPr>
    </w:lvl>
  </w:abstractNum>
  <w:abstractNum w:abstractNumId="835568">
    <w:lvl>
      <w:numFmt w:val="bullet"/>
      <w:suff w:val="tab"/>
      <w:lvlText w:val="•"/>
      <w:rPr>
        <w:color w:val="3370ff"/>
      </w:rPr>
    </w:lvl>
  </w:abstractNum>
  <w:abstractNum w:abstractNumId="835569">
    <w:lvl>
      <w:numFmt w:val="bullet"/>
      <w:suff w:val="tab"/>
      <w:lvlText w:val="•"/>
      <w:rPr>
        <w:color w:val="3370ff"/>
      </w:rPr>
    </w:lvl>
  </w:abstractNum>
  <w:abstractNum w:abstractNumId="835570">
    <w:lvl>
      <w:numFmt w:val="bullet"/>
      <w:suff w:val="tab"/>
      <w:lvlText w:val="•"/>
      <w:rPr>
        <w:color w:val="3370ff"/>
      </w:rPr>
    </w:lvl>
  </w:abstractNum>
  <w:abstractNum w:abstractNumId="835571">
    <w:lvl>
      <w:numFmt w:val="bullet"/>
      <w:suff w:val="tab"/>
      <w:lvlText w:val="•"/>
      <w:rPr>
        <w:color w:val="3370ff"/>
      </w:rPr>
    </w:lvl>
  </w:abstractNum>
  <w:abstractNum w:abstractNumId="835572">
    <w:lvl>
      <w:start w:val="1"/>
      <w:numFmt w:val="lowerLetter"/>
      <w:suff w:val="tab"/>
      <w:lvlText w:val="%1."/>
      <w:rPr>
        <w:color w:val="3370ff"/>
      </w:rPr>
    </w:lvl>
  </w:abstractNum>
  <w:abstractNum w:abstractNumId="835573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835547"/>
  </w:num>
  <w:num w:numId="2">
    <w:abstractNumId w:val="835548"/>
  </w:num>
  <w:num w:numId="3">
    <w:abstractNumId w:val="835549"/>
  </w:num>
  <w:num w:numId="4">
    <w:abstractNumId w:val="835550"/>
  </w:num>
  <w:num w:numId="5">
    <w:abstractNumId w:val="835551"/>
  </w:num>
  <w:num w:numId="6">
    <w:abstractNumId w:val="835552"/>
  </w:num>
  <w:num w:numId="7">
    <w:abstractNumId w:val="835553"/>
  </w:num>
  <w:num w:numId="8">
    <w:abstractNumId w:val="835554"/>
  </w:num>
  <w:num w:numId="9">
    <w:abstractNumId w:val="835555"/>
  </w:num>
  <w:num w:numId="10">
    <w:abstractNumId w:val="835556"/>
  </w:num>
  <w:num w:numId="11">
    <w:abstractNumId w:val="835557"/>
  </w:num>
  <w:num w:numId="12">
    <w:abstractNumId w:val="835558"/>
  </w:num>
  <w:num w:numId="13">
    <w:abstractNumId w:val="835559"/>
  </w:num>
  <w:num w:numId="14">
    <w:abstractNumId w:val="835560"/>
  </w:num>
  <w:num w:numId="15">
    <w:abstractNumId w:val="835561"/>
  </w:num>
  <w:num w:numId="16">
    <w:abstractNumId w:val="835562"/>
  </w:num>
  <w:num w:numId="17">
    <w:abstractNumId w:val="835563"/>
  </w:num>
  <w:num w:numId="18">
    <w:abstractNumId w:val="835564"/>
  </w:num>
  <w:num w:numId="19">
    <w:abstractNumId w:val="835565"/>
  </w:num>
  <w:num w:numId="20">
    <w:abstractNumId w:val="835566"/>
  </w:num>
  <w:num w:numId="21">
    <w:abstractNumId w:val="835567"/>
  </w:num>
  <w:num w:numId="22">
    <w:abstractNumId w:val="835568"/>
  </w:num>
  <w:num w:numId="23">
    <w:abstractNumId w:val="835569"/>
  </w:num>
  <w:num w:numId="24">
    <w:abstractNumId w:val="835570"/>
  </w:num>
  <w:num w:numId="25">
    <w:abstractNumId w:val="835571"/>
  </w:num>
  <w:num w:numId="26">
    <w:abstractNumId w:val="835572"/>
  </w:num>
  <w:num w:numId="27">
    <w:abstractNumId w:val="8355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heywhale.com/u/2026BDC" TargetMode="External" Type="http://schemas.openxmlformats.org/officeDocument/2006/relationships/hyperlink"/><Relationship Id="rId6" Target="https://github.com/Sherlock1956/THU-BDC2026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2026-04-19T12:59:07Z</dcterms:created>
  <dc:creator>Apache POI</dc:creator>
</cp:coreProperties>
</file>