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6FF9" w:rsidRPr="0098324C" w:rsidRDefault="008C6FF9" w:rsidP="008C6FF9">
      <w:pPr>
        <w:jc w:val="center"/>
        <w:rPr>
          <w:rFonts w:ascii="Arial" w:hAnsi="Arial" w:cs="Arial"/>
          <w:b/>
        </w:rPr>
      </w:pPr>
      <w:r w:rsidRPr="0098324C">
        <w:rPr>
          <w:rFonts w:ascii="Arial" w:hAnsi="Arial" w:cs="Arial"/>
          <w:b/>
        </w:rPr>
        <w:t>STATEMENT OF WORK</w:t>
      </w:r>
    </w:p>
    <w:p w:rsidR="008C6FF9" w:rsidRPr="0098324C" w:rsidRDefault="008C6FF9" w:rsidP="008C6FF9">
      <w:pPr>
        <w:jc w:val="center"/>
        <w:rPr>
          <w:rFonts w:ascii="Arial" w:hAnsi="Arial" w:cs="Arial"/>
          <w:b/>
        </w:rPr>
      </w:pPr>
    </w:p>
    <w:p w:rsidR="008C6FF9" w:rsidRPr="0098324C" w:rsidRDefault="008C6FF9" w:rsidP="008C6FF9">
      <w:pPr>
        <w:rPr>
          <w:rFonts w:ascii="Arial" w:hAnsi="Arial" w:cs="Arial"/>
          <w:b/>
        </w:rPr>
      </w:pPr>
      <w:r w:rsidRPr="0098324C">
        <w:rPr>
          <w:rFonts w:ascii="Arial" w:hAnsi="Arial" w:cs="Arial"/>
          <w:b/>
        </w:rPr>
        <w:t>This Statement of Work (the “SOW”) is entered into:</w:t>
      </w:r>
    </w:p>
    <w:tbl>
      <w:tblPr>
        <w:tblStyle w:val="TableGrid"/>
        <w:tblW w:w="0" w:type="auto"/>
        <w:tblLook w:val="01E0" w:firstRow="1" w:lastRow="1" w:firstColumn="1" w:lastColumn="1" w:noHBand="0" w:noVBand="0"/>
      </w:tblPr>
      <w:tblGrid>
        <w:gridCol w:w="3276"/>
        <w:gridCol w:w="6074"/>
      </w:tblGrid>
      <w:tr w:rsidR="008C6FF9" w:rsidRPr="0098324C" w:rsidTr="00B770AF">
        <w:tc>
          <w:tcPr>
            <w:tcW w:w="3348" w:type="dxa"/>
          </w:tcPr>
          <w:p w:rsidR="008C6FF9" w:rsidRPr="0098324C" w:rsidRDefault="008C6FF9" w:rsidP="00B770AF">
            <w:pPr>
              <w:rPr>
                <w:rFonts w:ascii="Arial" w:hAnsi="Arial" w:cs="Arial"/>
              </w:rPr>
            </w:pPr>
            <w:r w:rsidRPr="0098324C">
              <w:rPr>
                <w:rFonts w:ascii="Arial" w:hAnsi="Arial" w:cs="Arial"/>
              </w:rPr>
              <w:t>Effective as of:</w:t>
            </w:r>
          </w:p>
        </w:tc>
        <w:tc>
          <w:tcPr>
            <w:tcW w:w="6228" w:type="dxa"/>
          </w:tcPr>
          <w:p w:rsidR="008C6FF9" w:rsidRPr="0098324C" w:rsidRDefault="00EC340E" w:rsidP="00B770AF">
            <w:pPr>
              <w:rPr>
                <w:rFonts w:ascii="Arial" w:hAnsi="Arial" w:cs="Arial"/>
              </w:rPr>
            </w:pPr>
            <w:r>
              <w:rPr>
                <w:rFonts w:ascii="Arial" w:hAnsi="Arial" w:cs="Arial"/>
                <w:b/>
              </w:rPr>
              <w:t>12</w:t>
            </w:r>
            <w:r w:rsidR="008C6FF9">
              <w:rPr>
                <w:rFonts w:ascii="Arial" w:hAnsi="Arial" w:cs="Arial"/>
                <w:b/>
              </w:rPr>
              <w:t xml:space="preserve"> </w:t>
            </w:r>
            <w:r>
              <w:rPr>
                <w:rFonts w:ascii="Arial" w:hAnsi="Arial" w:cs="Arial"/>
                <w:b/>
              </w:rPr>
              <w:t>OCT</w:t>
            </w:r>
            <w:r w:rsidR="008C6FF9">
              <w:rPr>
                <w:rFonts w:ascii="Arial" w:hAnsi="Arial" w:cs="Arial"/>
                <w:b/>
              </w:rPr>
              <w:t xml:space="preserve"> 2016 </w:t>
            </w:r>
            <w:r w:rsidR="008C6FF9" w:rsidRPr="0098324C">
              <w:rPr>
                <w:rFonts w:ascii="Arial" w:hAnsi="Arial" w:cs="Arial"/>
              </w:rPr>
              <w:t>(the “SOW Effective Date”)</w:t>
            </w:r>
          </w:p>
        </w:tc>
      </w:tr>
      <w:tr w:rsidR="008C6FF9" w:rsidRPr="0098324C" w:rsidTr="00B770AF">
        <w:tc>
          <w:tcPr>
            <w:tcW w:w="3348" w:type="dxa"/>
            <w:vMerge w:val="restart"/>
          </w:tcPr>
          <w:p w:rsidR="008C6FF9" w:rsidRPr="0098324C" w:rsidRDefault="008C6FF9" w:rsidP="00B770AF">
            <w:pPr>
              <w:rPr>
                <w:rFonts w:ascii="Arial" w:hAnsi="Arial" w:cs="Arial"/>
              </w:rPr>
            </w:pPr>
            <w:r w:rsidRPr="0098324C">
              <w:rPr>
                <w:rFonts w:ascii="Arial" w:hAnsi="Arial" w:cs="Arial"/>
              </w:rPr>
              <w:t>by and between:</w:t>
            </w:r>
          </w:p>
          <w:p w:rsidR="008C6FF9" w:rsidRPr="0098324C" w:rsidRDefault="008C6FF9" w:rsidP="00B770AF">
            <w:pPr>
              <w:rPr>
                <w:rFonts w:ascii="Arial" w:hAnsi="Arial" w:cs="Arial"/>
              </w:rPr>
            </w:pPr>
          </w:p>
        </w:tc>
        <w:tc>
          <w:tcPr>
            <w:tcW w:w="6228" w:type="dxa"/>
          </w:tcPr>
          <w:p w:rsidR="008C6FF9" w:rsidRPr="0098324C" w:rsidRDefault="008C6FF9" w:rsidP="00B770AF">
            <w:pPr>
              <w:rPr>
                <w:rFonts w:ascii="Arial" w:hAnsi="Arial" w:cs="Arial"/>
                <w:b/>
              </w:rPr>
            </w:pPr>
            <w:r w:rsidRPr="0098324C">
              <w:rPr>
                <w:rFonts w:ascii="Arial" w:hAnsi="Arial" w:cs="Arial"/>
                <w:b/>
              </w:rPr>
              <w:t>Bristol-Myers Squibb Company (“BMS”)</w:t>
            </w:r>
          </w:p>
        </w:tc>
      </w:tr>
      <w:tr w:rsidR="008C6FF9" w:rsidRPr="0098324C" w:rsidTr="00B770AF">
        <w:tc>
          <w:tcPr>
            <w:tcW w:w="3348" w:type="dxa"/>
            <w:vMerge/>
          </w:tcPr>
          <w:p w:rsidR="008C6FF9" w:rsidRPr="0098324C" w:rsidRDefault="008C6FF9" w:rsidP="00B770AF">
            <w:pPr>
              <w:rPr>
                <w:rFonts w:ascii="Arial" w:hAnsi="Arial" w:cs="Arial"/>
              </w:rPr>
            </w:pPr>
          </w:p>
        </w:tc>
        <w:tc>
          <w:tcPr>
            <w:tcW w:w="6228" w:type="dxa"/>
          </w:tcPr>
          <w:p w:rsidR="008C6FF9" w:rsidRPr="0098324C" w:rsidRDefault="008C6FF9" w:rsidP="00B770AF">
            <w:pPr>
              <w:rPr>
                <w:rFonts w:ascii="Arial" w:hAnsi="Arial" w:cs="Arial"/>
                <w:highlight w:val="yellow"/>
              </w:rPr>
            </w:pPr>
            <w:r w:rsidRPr="0098324C">
              <w:rPr>
                <w:rFonts w:ascii="Arial" w:hAnsi="Arial" w:cs="Arial"/>
              </w:rPr>
              <w:t>and</w:t>
            </w:r>
          </w:p>
        </w:tc>
      </w:tr>
      <w:tr w:rsidR="008C6FF9" w:rsidRPr="0098324C" w:rsidTr="00B770AF">
        <w:tc>
          <w:tcPr>
            <w:tcW w:w="3348" w:type="dxa"/>
            <w:vMerge/>
          </w:tcPr>
          <w:p w:rsidR="008C6FF9" w:rsidRPr="0098324C" w:rsidRDefault="008C6FF9" w:rsidP="00B770AF">
            <w:pPr>
              <w:rPr>
                <w:rFonts w:ascii="Arial" w:hAnsi="Arial" w:cs="Arial"/>
              </w:rPr>
            </w:pPr>
          </w:p>
        </w:tc>
        <w:tc>
          <w:tcPr>
            <w:tcW w:w="6228" w:type="dxa"/>
          </w:tcPr>
          <w:p w:rsidR="008C6FF9" w:rsidRPr="0098324C" w:rsidRDefault="008C6FF9" w:rsidP="00B770AF">
            <w:pPr>
              <w:rPr>
                <w:rFonts w:ascii="Arial" w:hAnsi="Arial" w:cs="Arial"/>
              </w:rPr>
            </w:pPr>
            <w:r>
              <w:rPr>
                <w:rFonts w:ascii="Arial" w:hAnsi="Arial" w:cs="Arial"/>
                <w:b/>
              </w:rPr>
              <w:t>Sequence, Inc.</w:t>
            </w:r>
            <w:r w:rsidRPr="0098324C">
              <w:rPr>
                <w:rFonts w:ascii="Arial" w:hAnsi="Arial" w:cs="Arial"/>
              </w:rPr>
              <w:t xml:space="preserve">  </w:t>
            </w:r>
            <w:r w:rsidRPr="0098324C">
              <w:rPr>
                <w:rFonts w:ascii="Arial" w:hAnsi="Arial" w:cs="Arial"/>
                <w:b/>
              </w:rPr>
              <w:t>(“Service Provider”)</w:t>
            </w:r>
          </w:p>
        </w:tc>
      </w:tr>
    </w:tbl>
    <w:p w:rsidR="008C6FF9" w:rsidRPr="0098324C" w:rsidRDefault="008C6FF9" w:rsidP="008C6FF9">
      <w:pPr>
        <w:rPr>
          <w:rFonts w:ascii="Arial" w:hAnsi="Arial" w:cs="Arial"/>
          <w:b/>
        </w:rPr>
      </w:pPr>
      <w:r w:rsidRPr="0098324C">
        <w:rPr>
          <w:rFonts w:ascii="Arial" w:hAnsi="Arial" w:cs="Arial"/>
          <w:b/>
        </w:rPr>
        <w:t>pursuant to:</w:t>
      </w:r>
    </w:p>
    <w:tbl>
      <w:tblPr>
        <w:tblStyle w:val="TableGrid"/>
        <w:tblW w:w="0" w:type="auto"/>
        <w:tblLook w:val="01E0" w:firstRow="1" w:lastRow="1" w:firstColumn="1" w:lastColumn="1" w:noHBand="0" w:noVBand="0"/>
      </w:tblPr>
      <w:tblGrid>
        <w:gridCol w:w="3286"/>
        <w:gridCol w:w="6064"/>
      </w:tblGrid>
      <w:tr w:rsidR="008C6FF9" w:rsidRPr="0098324C" w:rsidTr="00B770AF">
        <w:tc>
          <w:tcPr>
            <w:tcW w:w="3348" w:type="dxa"/>
          </w:tcPr>
          <w:p w:rsidR="008C6FF9" w:rsidRPr="0098324C" w:rsidRDefault="008C6FF9" w:rsidP="00B770AF">
            <w:pPr>
              <w:rPr>
                <w:rFonts w:ascii="Arial" w:hAnsi="Arial" w:cs="Arial"/>
              </w:rPr>
            </w:pPr>
            <w:r w:rsidRPr="0098324C">
              <w:rPr>
                <w:rFonts w:ascii="Arial" w:hAnsi="Arial" w:cs="Arial"/>
              </w:rPr>
              <w:t>The</w:t>
            </w:r>
            <w:r>
              <w:rPr>
                <w:rFonts w:ascii="Arial" w:hAnsi="Arial" w:cs="Arial"/>
              </w:rPr>
              <w:t xml:space="preserve"> IT</w:t>
            </w:r>
            <w:r w:rsidRPr="0098324C">
              <w:rPr>
                <w:rFonts w:ascii="Arial" w:hAnsi="Arial" w:cs="Arial"/>
              </w:rPr>
              <w:t xml:space="preserve"> Services Agreement (the “Agreement”) effective as of:</w:t>
            </w:r>
          </w:p>
        </w:tc>
        <w:tc>
          <w:tcPr>
            <w:tcW w:w="6228" w:type="dxa"/>
          </w:tcPr>
          <w:p w:rsidR="008C6FF9" w:rsidRPr="0098324C" w:rsidRDefault="008C6FF9" w:rsidP="00B770AF">
            <w:pPr>
              <w:rPr>
                <w:rFonts w:ascii="Arial" w:hAnsi="Arial" w:cs="Arial"/>
                <w:b/>
              </w:rPr>
            </w:pPr>
            <w:r>
              <w:rPr>
                <w:rFonts w:ascii="Arial" w:hAnsi="Arial" w:cs="Arial"/>
                <w:b/>
              </w:rPr>
              <w:t>14 JUNE 2012 and as amended on 01 JUNE 2015</w:t>
            </w:r>
          </w:p>
          <w:p w:rsidR="008C6FF9" w:rsidRPr="0098324C" w:rsidRDefault="008C6FF9" w:rsidP="00B770AF">
            <w:pPr>
              <w:rPr>
                <w:rFonts w:ascii="Arial" w:hAnsi="Arial" w:cs="Arial"/>
              </w:rPr>
            </w:pPr>
          </w:p>
        </w:tc>
      </w:tr>
      <w:tr w:rsidR="008C6FF9" w:rsidRPr="0098324C" w:rsidTr="00B770AF">
        <w:tc>
          <w:tcPr>
            <w:tcW w:w="3348" w:type="dxa"/>
            <w:vMerge w:val="restart"/>
          </w:tcPr>
          <w:p w:rsidR="008C6FF9" w:rsidRPr="0098324C" w:rsidRDefault="008C6FF9" w:rsidP="00B770AF">
            <w:pPr>
              <w:rPr>
                <w:rFonts w:ascii="Arial" w:hAnsi="Arial" w:cs="Arial"/>
              </w:rPr>
            </w:pPr>
            <w:r w:rsidRPr="0098324C">
              <w:rPr>
                <w:rFonts w:ascii="Arial" w:hAnsi="Arial" w:cs="Arial"/>
              </w:rPr>
              <w:t>by and between:</w:t>
            </w:r>
          </w:p>
          <w:p w:rsidR="008C6FF9" w:rsidRPr="0098324C" w:rsidRDefault="008C6FF9" w:rsidP="00B770AF">
            <w:pPr>
              <w:rPr>
                <w:rFonts w:ascii="Arial" w:hAnsi="Arial" w:cs="Arial"/>
              </w:rPr>
            </w:pPr>
          </w:p>
        </w:tc>
        <w:tc>
          <w:tcPr>
            <w:tcW w:w="6228" w:type="dxa"/>
          </w:tcPr>
          <w:p w:rsidR="008C6FF9" w:rsidRPr="0098324C" w:rsidRDefault="008C6FF9" w:rsidP="00B770AF">
            <w:pPr>
              <w:rPr>
                <w:rFonts w:ascii="Arial" w:hAnsi="Arial" w:cs="Arial"/>
                <w:b/>
              </w:rPr>
            </w:pPr>
            <w:r w:rsidRPr="0098324C">
              <w:rPr>
                <w:rFonts w:ascii="Arial" w:hAnsi="Arial" w:cs="Arial"/>
                <w:b/>
              </w:rPr>
              <w:t>BMS</w:t>
            </w:r>
          </w:p>
        </w:tc>
      </w:tr>
      <w:tr w:rsidR="008C6FF9" w:rsidRPr="0098324C" w:rsidTr="00B770AF">
        <w:tc>
          <w:tcPr>
            <w:tcW w:w="3348" w:type="dxa"/>
            <w:vMerge/>
          </w:tcPr>
          <w:p w:rsidR="008C6FF9" w:rsidRPr="0098324C" w:rsidRDefault="008C6FF9" w:rsidP="00B770AF">
            <w:pPr>
              <w:rPr>
                <w:rFonts w:ascii="Arial" w:hAnsi="Arial" w:cs="Arial"/>
              </w:rPr>
            </w:pPr>
          </w:p>
        </w:tc>
        <w:tc>
          <w:tcPr>
            <w:tcW w:w="6228" w:type="dxa"/>
          </w:tcPr>
          <w:p w:rsidR="008C6FF9" w:rsidRPr="0098324C" w:rsidRDefault="008C6FF9" w:rsidP="00B770AF">
            <w:pPr>
              <w:rPr>
                <w:rFonts w:ascii="Arial" w:hAnsi="Arial" w:cs="Arial"/>
              </w:rPr>
            </w:pPr>
            <w:r w:rsidRPr="0098324C">
              <w:rPr>
                <w:rFonts w:ascii="Arial" w:hAnsi="Arial" w:cs="Arial"/>
              </w:rPr>
              <w:t>and</w:t>
            </w:r>
          </w:p>
        </w:tc>
      </w:tr>
      <w:tr w:rsidR="008C6FF9" w:rsidRPr="0098324C" w:rsidTr="00B770AF">
        <w:tc>
          <w:tcPr>
            <w:tcW w:w="3348" w:type="dxa"/>
            <w:vMerge/>
          </w:tcPr>
          <w:p w:rsidR="008C6FF9" w:rsidRPr="0098324C" w:rsidRDefault="008C6FF9" w:rsidP="00B770AF">
            <w:pPr>
              <w:rPr>
                <w:rFonts w:ascii="Arial" w:hAnsi="Arial" w:cs="Arial"/>
              </w:rPr>
            </w:pPr>
          </w:p>
        </w:tc>
        <w:tc>
          <w:tcPr>
            <w:tcW w:w="6228" w:type="dxa"/>
          </w:tcPr>
          <w:p w:rsidR="008C6FF9" w:rsidRPr="0098324C" w:rsidRDefault="008C6FF9" w:rsidP="00B770AF">
            <w:pPr>
              <w:rPr>
                <w:rFonts w:ascii="Arial" w:hAnsi="Arial" w:cs="Arial"/>
                <w:b/>
              </w:rPr>
            </w:pPr>
            <w:r w:rsidRPr="0098324C">
              <w:rPr>
                <w:rFonts w:ascii="Arial" w:hAnsi="Arial" w:cs="Arial"/>
                <w:b/>
              </w:rPr>
              <w:t>Service Provider</w:t>
            </w:r>
          </w:p>
        </w:tc>
      </w:tr>
    </w:tbl>
    <w:p w:rsidR="008C6FF9" w:rsidRDefault="008C6FF9" w:rsidP="008C6FF9">
      <w:pPr>
        <w:jc w:val="both"/>
        <w:rPr>
          <w:rFonts w:ascii="Arial" w:hAnsi="Arial" w:cs="Arial"/>
        </w:rPr>
      </w:pPr>
    </w:p>
    <w:p w:rsidR="008C6FF9" w:rsidRPr="0098324C" w:rsidRDefault="008C6FF9" w:rsidP="008C6FF9">
      <w:pPr>
        <w:jc w:val="both"/>
        <w:rPr>
          <w:rFonts w:ascii="Arial" w:hAnsi="Arial" w:cs="Arial"/>
        </w:rPr>
      </w:pPr>
      <w:r w:rsidRPr="0098324C">
        <w:rPr>
          <w:rFonts w:ascii="Arial" w:hAnsi="Arial" w:cs="Arial"/>
        </w:rPr>
        <w:t>The terms and conditions of the Agreement are incorporated into this SOW</w:t>
      </w:r>
      <w:r>
        <w:rPr>
          <w:rFonts w:ascii="Arial" w:hAnsi="Arial" w:cs="Arial"/>
        </w:rPr>
        <w:t xml:space="preserve"> [Sequence </w:t>
      </w:r>
      <w:r w:rsidRPr="00391F7D">
        <w:rPr>
          <w:rFonts w:ascii="Arial" w:hAnsi="Arial" w:cs="Arial"/>
        </w:rPr>
        <w:t>SOW #1</w:t>
      </w:r>
      <w:r w:rsidR="00391F7D" w:rsidRPr="00391F7D">
        <w:rPr>
          <w:rFonts w:ascii="Arial" w:hAnsi="Arial" w:cs="Arial"/>
        </w:rPr>
        <w:t>111</w:t>
      </w:r>
      <w:r w:rsidRPr="00DD6921">
        <w:rPr>
          <w:rFonts w:ascii="Arial" w:hAnsi="Arial" w:cs="Arial"/>
        </w:rPr>
        <w:t>, re</w:t>
      </w:r>
      <w:r>
        <w:rPr>
          <w:rFonts w:ascii="Arial" w:hAnsi="Arial" w:cs="Arial"/>
        </w:rPr>
        <w:t>v 0]</w:t>
      </w:r>
      <w:r w:rsidRPr="0098324C">
        <w:rPr>
          <w:rFonts w:ascii="Arial" w:hAnsi="Arial" w:cs="Arial"/>
        </w:rPr>
        <w:t xml:space="preserve"> by reference.  In the event of a conflict between the Agreement and a SOW, the terms of the Agreement shall prevail.  All capitalized terms have the respective meanings given to them in the Agreement.</w:t>
      </w:r>
    </w:p>
    <w:p w:rsidR="008C6FF9" w:rsidRDefault="008C6FF9" w:rsidP="008C6FF9">
      <w:pPr>
        <w:ind w:left="720" w:hanging="720"/>
        <w:rPr>
          <w:rFonts w:ascii="Arial" w:hAnsi="Arial" w:cs="Arial"/>
        </w:rPr>
      </w:pPr>
    </w:p>
    <w:p w:rsidR="008C6FF9" w:rsidRDefault="008C6FF9" w:rsidP="008C6FF9">
      <w:pPr>
        <w:ind w:left="720" w:hanging="720"/>
        <w:rPr>
          <w:rFonts w:ascii="Arial" w:hAnsi="Arial" w:cs="Arial"/>
        </w:rPr>
      </w:pPr>
      <w:r w:rsidRPr="00FC46D3">
        <w:rPr>
          <w:rFonts w:ascii="Arial" w:hAnsi="Arial" w:cs="Arial"/>
        </w:rPr>
        <w:t>1.</w:t>
      </w:r>
      <w:r w:rsidRPr="00FC46D3">
        <w:rPr>
          <w:rFonts w:ascii="Arial" w:hAnsi="Arial" w:cs="Arial"/>
        </w:rPr>
        <w:tab/>
        <w:t xml:space="preserve">SOW Term.  </w:t>
      </w:r>
      <w:r w:rsidRPr="002A28D5">
        <w:rPr>
          <w:rFonts w:ascii="Arial" w:hAnsi="Arial" w:cs="Arial"/>
        </w:rPr>
        <w:t xml:space="preserve">This SOW is effective as of the SOW Effective Date and continues in full force and effect until the earlier of (a) Acceptable completion of the Services or </w:t>
      </w:r>
      <w:r w:rsidR="00391F7D">
        <w:rPr>
          <w:rFonts w:ascii="Arial" w:hAnsi="Arial" w:cs="Arial"/>
        </w:rPr>
        <w:t>Dec</w:t>
      </w:r>
      <w:r>
        <w:rPr>
          <w:rFonts w:ascii="Arial" w:hAnsi="Arial" w:cs="Arial"/>
        </w:rPr>
        <w:t xml:space="preserve">. </w:t>
      </w:r>
      <w:r w:rsidRPr="002A28D5">
        <w:rPr>
          <w:rFonts w:ascii="Arial" w:hAnsi="Arial" w:cs="Arial"/>
        </w:rPr>
        <w:t>3</w:t>
      </w:r>
      <w:r>
        <w:rPr>
          <w:rFonts w:ascii="Arial" w:hAnsi="Arial" w:cs="Arial"/>
        </w:rPr>
        <w:t>1</w:t>
      </w:r>
      <w:r w:rsidRPr="002A28D5">
        <w:rPr>
          <w:rFonts w:ascii="Arial" w:hAnsi="Arial" w:cs="Arial"/>
        </w:rPr>
        <w:t>, 201</w:t>
      </w:r>
      <w:r w:rsidR="00391F7D">
        <w:rPr>
          <w:rFonts w:ascii="Arial" w:hAnsi="Arial" w:cs="Arial"/>
        </w:rPr>
        <w:t>6</w:t>
      </w:r>
      <w:r w:rsidRPr="009259AF">
        <w:rPr>
          <w:rFonts w:ascii="Arial" w:hAnsi="Arial" w:cs="Arial"/>
        </w:rPr>
        <w:t xml:space="preserve"> </w:t>
      </w:r>
      <w:r>
        <w:rPr>
          <w:rFonts w:ascii="Arial" w:hAnsi="Arial" w:cs="Arial"/>
        </w:rPr>
        <w:t xml:space="preserve">and </w:t>
      </w:r>
      <w:r w:rsidRPr="002A28D5">
        <w:rPr>
          <w:rFonts w:ascii="Arial" w:hAnsi="Arial" w:cs="Arial"/>
        </w:rPr>
        <w:t>(b)</w:t>
      </w:r>
      <w:r>
        <w:rPr>
          <w:rFonts w:ascii="Arial" w:hAnsi="Arial" w:cs="Arial"/>
        </w:rPr>
        <w:t xml:space="preserve"> termination in accordance with the terms of the Agreement (the “SOW Term”)</w:t>
      </w:r>
      <w:r w:rsidRPr="00FC46D3">
        <w:rPr>
          <w:rFonts w:ascii="Arial" w:hAnsi="Arial" w:cs="Arial"/>
        </w:rPr>
        <w:t>.</w:t>
      </w:r>
      <w:r w:rsidRPr="0098324C">
        <w:rPr>
          <w:rFonts w:ascii="Arial" w:hAnsi="Arial" w:cs="Arial"/>
        </w:rPr>
        <w:t xml:space="preserve">  </w:t>
      </w:r>
    </w:p>
    <w:p w:rsidR="008C6FF9" w:rsidRPr="0098324C" w:rsidRDefault="008C6FF9" w:rsidP="008C6FF9">
      <w:pPr>
        <w:ind w:left="720" w:hanging="720"/>
        <w:rPr>
          <w:rFonts w:ascii="Arial" w:hAnsi="Arial" w:cs="Arial"/>
        </w:rPr>
      </w:pPr>
    </w:p>
    <w:p w:rsidR="008C6FF9" w:rsidRDefault="008C6FF9" w:rsidP="008C6FF9">
      <w:pPr>
        <w:rPr>
          <w:rFonts w:ascii="Arial" w:hAnsi="Arial" w:cs="Arial"/>
        </w:rPr>
      </w:pPr>
      <w:r w:rsidRPr="0098324C">
        <w:rPr>
          <w:rFonts w:ascii="Arial" w:hAnsi="Arial" w:cs="Arial"/>
        </w:rPr>
        <w:t>2.</w:t>
      </w:r>
      <w:r w:rsidRPr="0098324C">
        <w:rPr>
          <w:rFonts w:ascii="Arial" w:hAnsi="Arial" w:cs="Arial"/>
        </w:rPr>
        <w:tab/>
        <w:t xml:space="preserve">Description of Services.  </w:t>
      </w:r>
    </w:p>
    <w:p w:rsidR="008C6FF9" w:rsidRDefault="008C6FF9" w:rsidP="008C6FF9">
      <w:pPr>
        <w:ind w:left="720"/>
        <w:rPr>
          <w:rFonts w:ascii="Arial" w:hAnsi="Arial" w:cs="Arial"/>
        </w:rPr>
      </w:pPr>
      <w:r w:rsidRPr="00DD7855">
        <w:rPr>
          <w:rFonts w:ascii="Arial" w:hAnsi="Arial" w:cs="Arial"/>
        </w:rPr>
        <w:t xml:space="preserve">Sequence will </w:t>
      </w:r>
      <w:r>
        <w:rPr>
          <w:rFonts w:ascii="Arial" w:hAnsi="Arial" w:cs="Arial"/>
        </w:rPr>
        <w:t>finalize configuration and implement</w:t>
      </w:r>
      <w:r w:rsidRPr="00DD7855">
        <w:rPr>
          <w:rFonts w:ascii="Arial" w:hAnsi="Arial" w:cs="Arial"/>
        </w:rPr>
        <w:t xml:space="preserve"> the </w:t>
      </w:r>
      <w:proofErr w:type="spellStart"/>
      <w:r w:rsidRPr="00B770AF">
        <w:rPr>
          <w:rFonts w:ascii="Arial" w:hAnsi="Arial" w:cs="Arial"/>
        </w:rPr>
        <w:t>Humacao</w:t>
      </w:r>
      <w:proofErr w:type="spellEnd"/>
      <w:r w:rsidRPr="00B770AF">
        <w:rPr>
          <w:rFonts w:ascii="Arial" w:hAnsi="Arial" w:cs="Arial"/>
        </w:rPr>
        <w:t xml:space="preserve"> </w:t>
      </w:r>
      <w:proofErr w:type="spellStart"/>
      <w:r w:rsidR="00391F7D">
        <w:rPr>
          <w:rFonts w:ascii="Arial" w:hAnsi="Arial" w:cs="Arial"/>
        </w:rPr>
        <w:t>Sprycel</w:t>
      </w:r>
      <w:proofErr w:type="spellEnd"/>
      <w:r w:rsidRPr="00B770AF">
        <w:rPr>
          <w:rFonts w:ascii="Arial" w:hAnsi="Arial" w:cs="Arial"/>
        </w:rPr>
        <w:t xml:space="preserve"> Hierarchy </w:t>
      </w:r>
      <w:r w:rsidRPr="00DD7855">
        <w:rPr>
          <w:rFonts w:ascii="Arial" w:hAnsi="Arial" w:cs="Arial"/>
        </w:rPr>
        <w:t>in the GMS Discoverant system at BMS.</w:t>
      </w:r>
      <w:r>
        <w:rPr>
          <w:rFonts w:ascii="Arial" w:hAnsi="Arial" w:cs="Arial"/>
        </w:rPr>
        <w:t xml:space="preserve">  </w:t>
      </w:r>
      <w:r w:rsidRPr="00B17303">
        <w:rPr>
          <w:rFonts w:ascii="Arial" w:hAnsi="Arial" w:cs="Arial"/>
        </w:rPr>
        <w:t>Services will include communicati</w:t>
      </w:r>
      <w:r>
        <w:rPr>
          <w:rFonts w:ascii="Arial" w:hAnsi="Arial" w:cs="Arial"/>
        </w:rPr>
        <w:t>on/meetings with site and configuration, implementation and validation of the hierarchy.</w:t>
      </w:r>
    </w:p>
    <w:p w:rsidR="008C6FF9" w:rsidRPr="0098324C" w:rsidRDefault="008C6FF9" w:rsidP="008C6FF9">
      <w:pPr>
        <w:ind w:left="720"/>
        <w:rPr>
          <w:rFonts w:ascii="Arial" w:hAnsi="Arial" w:cs="Arial"/>
        </w:rPr>
      </w:pPr>
    </w:p>
    <w:p w:rsidR="008C6FF9" w:rsidRPr="0098324C" w:rsidRDefault="008C6FF9" w:rsidP="008C6FF9">
      <w:pPr>
        <w:rPr>
          <w:rFonts w:ascii="Arial" w:hAnsi="Arial" w:cs="Arial"/>
        </w:rPr>
      </w:pPr>
      <w:r w:rsidRPr="0098324C">
        <w:rPr>
          <w:rFonts w:ascii="Arial" w:hAnsi="Arial" w:cs="Arial"/>
        </w:rPr>
        <w:t>3.</w:t>
      </w:r>
      <w:r w:rsidRPr="0098324C">
        <w:rPr>
          <w:rFonts w:ascii="Arial" w:hAnsi="Arial" w:cs="Arial"/>
        </w:rPr>
        <w:tab/>
        <w:t xml:space="preserve">Deliverables. </w:t>
      </w:r>
    </w:p>
    <w:p w:rsidR="008C6FF9" w:rsidRDefault="008C6FF9" w:rsidP="008C6FF9">
      <w:pPr>
        <w:autoSpaceDE w:val="0"/>
        <w:autoSpaceDN w:val="0"/>
        <w:adjustRightInd w:val="0"/>
        <w:ind w:left="720"/>
        <w:rPr>
          <w:rFonts w:ascii="Arial" w:hAnsi="Arial" w:cs="Arial"/>
        </w:rPr>
      </w:pPr>
      <w:r w:rsidRPr="00D75EDB">
        <w:rPr>
          <w:rFonts w:ascii="Arial" w:hAnsi="Arial" w:cs="Arial"/>
        </w:rPr>
        <w:t>Services may include, but are not limited to deliverables in the table below. Services are estimated to require</w:t>
      </w:r>
      <w:r>
        <w:rPr>
          <w:rFonts w:ascii="Arial" w:hAnsi="Arial" w:cs="Arial"/>
        </w:rPr>
        <w:t xml:space="preserve"> two Sequence resources (1 data modeler, 1 validation expert) </w:t>
      </w:r>
      <w:r w:rsidRPr="00D75EDB">
        <w:rPr>
          <w:rFonts w:ascii="Arial" w:hAnsi="Arial" w:cs="Arial"/>
        </w:rPr>
        <w:t xml:space="preserve">to complete </w:t>
      </w:r>
      <w:r>
        <w:rPr>
          <w:rFonts w:ascii="Arial" w:hAnsi="Arial" w:cs="Arial"/>
        </w:rPr>
        <w:t>this effort</w:t>
      </w:r>
      <w:r w:rsidRPr="00D75EDB">
        <w:rPr>
          <w:rFonts w:ascii="Arial" w:hAnsi="Arial" w:cs="Arial"/>
        </w:rPr>
        <w:t>.  BMS appr</w:t>
      </w:r>
      <w:r>
        <w:rPr>
          <w:rFonts w:ascii="Arial" w:hAnsi="Arial" w:cs="Arial"/>
        </w:rPr>
        <w:t xml:space="preserve">oved resources will perform the </w:t>
      </w:r>
      <w:r w:rsidRPr="00D75EDB">
        <w:rPr>
          <w:rFonts w:ascii="Arial" w:hAnsi="Arial" w:cs="Arial"/>
        </w:rPr>
        <w:t xml:space="preserve">services.  </w:t>
      </w:r>
      <w:r w:rsidRPr="002E4951">
        <w:rPr>
          <w:rFonts w:ascii="Arial" w:hAnsi="Arial" w:cs="Arial"/>
        </w:rPr>
        <w:t xml:space="preserve">Services will be performed from the Sequence Compliance Center.  The Hierarchy </w:t>
      </w:r>
      <w:r>
        <w:rPr>
          <w:rFonts w:ascii="Arial" w:hAnsi="Arial" w:cs="Arial"/>
        </w:rPr>
        <w:t>configuration, implementation and validation</w:t>
      </w:r>
      <w:r w:rsidRPr="002E4951">
        <w:rPr>
          <w:rFonts w:ascii="Arial" w:hAnsi="Arial" w:cs="Arial"/>
        </w:rPr>
        <w:t xml:space="preserve"> w</w:t>
      </w:r>
      <w:r>
        <w:rPr>
          <w:rFonts w:ascii="Arial" w:hAnsi="Arial" w:cs="Arial"/>
        </w:rPr>
        <w:t xml:space="preserve">ill be performed per relevant </w:t>
      </w:r>
      <w:proofErr w:type="spellStart"/>
      <w:r>
        <w:rPr>
          <w:rFonts w:ascii="Arial" w:hAnsi="Arial" w:cs="Arial"/>
        </w:rPr>
        <w:t>GxP</w:t>
      </w:r>
      <w:proofErr w:type="spellEnd"/>
      <w:r>
        <w:rPr>
          <w:rFonts w:ascii="Arial" w:hAnsi="Arial" w:cs="Arial"/>
        </w:rPr>
        <w:t xml:space="preserve"> and </w:t>
      </w:r>
      <w:r w:rsidRPr="002E4951">
        <w:rPr>
          <w:rFonts w:ascii="Arial" w:hAnsi="Arial" w:cs="Arial"/>
        </w:rPr>
        <w:t>BMS policies and procedures.</w:t>
      </w:r>
      <w:r>
        <w:rPr>
          <w:rFonts w:ascii="Arial" w:hAnsi="Arial" w:cs="Arial"/>
        </w:rPr>
        <w:t xml:space="preserve"> </w:t>
      </w:r>
    </w:p>
    <w:p w:rsidR="008C6FF9" w:rsidRDefault="008C6FF9" w:rsidP="008C6FF9">
      <w:pPr>
        <w:autoSpaceDE w:val="0"/>
        <w:autoSpaceDN w:val="0"/>
        <w:adjustRightInd w:val="0"/>
        <w:ind w:left="720"/>
        <w:rPr>
          <w:rFonts w:ascii="Arial" w:hAnsi="Arial" w:cs="Arial"/>
        </w:rPr>
      </w:pPr>
      <w:r w:rsidRPr="00D75EDB">
        <w:rPr>
          <w:rFonts w:ascii="Arial" w:hAnsi="Arial" w:cs="Arial"/>
        </w:rPr>
        <w:t xml:space="preserve"> </w:t>
      </w:r>
    </w:p>
    <w:p w:rsidR="008C6FF9" w:rsidRPr="00D75EDB" w:rsidRDefault="008C6FF9" w:rsidP="008C6FF9">
      <w:pPr>
        <w:autoSpaceDE w:val="0"/>
        <w:autoSpaceDN w:val="0"/>
        <w:adjustRightInd w:val="0"/>
        <w:ind w:left="720"/>
        <w:rPr>
          <w:rFonts w:ascii="Arial" w:hAnsi="Arial" w:cs="Arial"/>
        </w:rPr>
      </w:pP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0"/>
        <w:gridCol w:w="2268"/>
      </w:tblGrid>
      <w:tr w:rsidR="008C6FF9" w:rsidTr="00B770AF">
        <w:trPr>
          <w:trHeight w:val="188"/>
          <w:tblHeader/>
        </w:trPr>
        <w:tc>
          <w:tcPr>
            <w:tcW w:w="5760" w:type="dxa"/>
            <w:tcBorders>
              <w:top w:val="single" w:sz="4" w:space="0" w:color="auto"/>
              <w:left w:val="single" w:sz="4" w:space="0" w:color="auto"/>
              <w:bottom w:val="single" w:sz="4" w:space="0" w:color="auto"/>
              <w:right w:val="single" w:sz="4" w:space="0" w:color="auto"/>
            </w:tcBorders>
            <w:shd w:val="clear" w:color="auto" w:fill="D9D9D9"/>
          </w:tcPr>
          <w:p w:rsidR="008C6FF9" w:rsidRPr="00D75EDB" w:rsidRDefault="008C6FF9" w:rsidP="00B770AF">
            <w:pPr>
              <w:autoSpaceDE w:val="0"/>
              <w:autoSpaceDN w:val="0"/>
              <w:adjustRightInd w:val="0"/>
              <w:rPr>
                <w:rFonts w:ascii="Arial" w:hAnsi="Arial" w:cs="Arial"/>
                <w:b/>
                <w:bCs/>
              </w:rPr>
            </w:pPr>
            <w:r w:rsidRPr="00D75EDB">
              <w:rPr>
                <w:rFonts w:ascii="Arial" w:hAnsi="Arial" w:cs="Arial"/>
                <w:b/>
                <w:bCs/>
              </w:rPr>
              <w:t>Deliverables Description</w:t>
            </w:r>
          </w:p>
        </w:tc>
        <w:tc>
          <w:tcPr>
            <w:tcW w:w="2268" w:type="dxa"/>
            <w:tcBorders>
              <w:top w:val="single" w:sz="4" w:space="0" w:color="auto"/>
              <w:left w:val="single" w:sz="4" w:space="0" w:color="auto"/>
              <w:bottom w:val="single" w:sz="4" w:space="0" w:color="auto"/>
              <w:right w:val="single" w:sz="4" w:space="0" w:color="auto"/>
            </w:tcBorders>
            <w:shd w:val="clear" w:color="auto" w:fill="D9D9D9"/>
          </w:tcPr>
          <w:p w:rsidR="008C6FF9" w:rsidRPr="00D75EDB" w:rsidRDefault="008C6FF9" w:rsidP="00B770AF">
            <w:pPr>
              <w:autoSpaceDE w:val="0"/>
              <w:autoSpaceDN w:val="0"/>
              <w:adjustRightInd w:val="0"/>
              <w:rPr>
                <w:rFonts w:ascii="Arial" w:hAnsi="Arial" w:cs="Arial"/>
                <w:b/>
                <w:bCs/>
              </w:rPr>
            </w:pPr>
            <w:r w:rsidRPr="00D75EDB">
              <w:rPr>
                <w:rFonts w:ascii="Arial" w:hAnsi="Arial" w:cs="Arial"/>
                <w:b/>
                <w:bCs/>
              </w:rPr>
              <w:t>Estimated Time</w:t>
            </w:r>
          </w:p>
        </w:tc>
      </w:tr>
      <w:tr w:rsidR="008C6FF9" w:rsidTr="00B770AF">
        <w:tc>
          <w:tcPr>
            <w:tcW w:w="5760" w:type="dxa"/>
            <w:tcBorders>
              <w:top w:val="single" w:sz="4" w:space="0" w:color="auto"/>
              <w:left w:val="single" w:sz="4" w:space="0" w:color="auto"/>
              <w:bottom w:val="single" w:sz="4" w:space="0" w:color="auto"/>
              <w:right w:val="single" w:sz="4" w:space="0" w:color="auto"/>
            </w:tcBorders>
            <w:vAlign w:val="center"/>
          </w:tcPr>
          <w:p w:rsidR="008C6FF9" w:rsidRDefault="008C6FF9" w:rsidP="00B770AF">
            <w:pPr>
              <w:rPr>
                <w:rFonts w:ascii="Arial" w:hAnsi="Arial" w:cs="Arial"/>
              </w:rPr>
            </w:pPr>
            <w:r>
              <w:rPr>
                <w:rFonts w:ascii="Arial" w:hAnsi="Arial" w:cs="Arial"/>
                <w:bCs/>
              </w:rPr>
              <w:t xml:space="preserve">Finalize Hierarchy Configuration (includes stress testing and any data modeling required per a deviation resolution) </w:t>
            </w:r>
          </w:p>
        </w:tc>
        <w:tc>
          <w:tcPr>
            <w:tcW w:w="2268" w:type="dxa"/>
            <w:tcBorders>
              <w:top w:val="single" w:sz="4" w:space="0" w:color="auto"/>
              <w:left w:val="single" w:sz="4" w:space="0" w:color="auto"/>
              <w:bottom w:val="single" w:sz="4" w:space="0" w:color="auto"/>
              <w:right w:val="single" w:sz="4" w:space="0" w:color="auto"/>
            </w:tcBorders>
          </w:tcPr>
          <w:p w:rsidR="008C6FF9" w:rsidRDefault="008C6FF9" w:rsidP="00B770AF">
            <w:pPr>
              <w:rPr>
                <w:rFonts w:ascii="Arial" w:hAnsi="Arial" w:cs="Arial"/>
              </w:rPr>
            </w:pPr>
            <w:r>
              <w:rPr>
                <w:rFonts w:ascii="Arial" w:hAnsi="Arial" w:cs="Arial"/>
              </w:rPr>
              <w:t>1</w:t>
            </w:r>
            <w:r w:rsidR="00DD4197">
              <w:rPr>
                <w:rFonts w:ascii="Arial" w:hAnsi="Arial" w:cs="Arial"/>
              </w:rPr>
              <w:t>76</w:t>
            </w:r>
            <w:r>
              <w:rPr>
                <w:rFonts w:ascii="Arial" w:hAnsi="Arial" w:cs="Arial"/>
              </w:rPr>
              <w:t xml:space="preserve"> hours</w:t>
            </w:r>
          </w:p>
        </w:tc>
      </w:tr>
      <w:tr w:rsidR="008C6FF9" w:rsidTr="00B770AF">
        <w:tc>
          <w:tcPr>
            <w:tcW w:w="57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C6FF9" w:rsidRDefault="008C6FF9" w:rsidP="00B770AF">
            <w:pPr>
              <w:rPr>
                <w:rFonts w:ascii="Arial" w:hAnsi="Arial" w:cs="Arial"/>
                <w:bCs/>
              </w:rPr>
            </w:pPr>
            <w:r>
              <w:rPr>
                <w:rFonts w:ascii="Arial" w:hAnsi="Arial" w:cs="Arial"/>
                <w:bCs/>
              </w:rPr>
              <w:t xml:space="preserve">Implement/Validate the Hierarchy </w:t>
            </w:r>
            <w:r>
              <w:rPr>
                <w:rFonts w:ascii="Arial" w:hAnsi="Arial" w:cs="Arial"/>
              </w:rPr>
              <w:t>(Author Validation Test Plan, Execute Validation Test Plan, Deviation Resolution, Author Summary Report)</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8C6FF9" w:rsidRDefault="008C6FF9" w:rsidP="00B770AF">
            <w:pPr>
              <w:rPr>
                <w:rFonts w:ascii="Arial" w:hAnsi="Arial" w:cs="Arial"/>
              </w:rPr>
            </w:pPr>
            <w:r>
              <w:rPr>
                <w:rFonts w:ascii="Arial" w:hAnsi="Arial" w:cs="Arial"/>
              </w:rPr>
              <w:t>1</w:t>
            </w:r>
            <w:r w:rsidR="00DD4197">
              <w:rPr>
                <w:rFonts w:ascii="Arial" w:hAnsi="Arial" w:cs="Arial"/>
              </w:rPr>
              <w:t>10</w:t>
            </w:r>
            <w:r>
              <w:rPr>
                <w:rFonts w:ascii="Arial" w:hAnsi="Arial" w:cs="Arial"/>
              </w:rPr>
              <w:t xml:space="preserve"> hours</w:t>
            </w:r>
          </w:p>
        </w:tc>
      </w:tr>
      <w:tr w:rsidR="008C6FF9" w:rsidTr="00B770AF">
        <w:tc>
          <w:tcPr>
            <w:tcW w:w="5760" w:type="dxa"/>
            <w:tcBorders>
              <w:top w:val="single" w:sz="4" w:space="0" w:color="auto"/>
              <w:left w:val="single" w:sz="4" w:space="0" w:color="auto"/>
              <w:bottom w:val="single" w:sz="4" w:space="0" w:color="auto"/>
              <w:right w:val="single" w:sz="4" w:space="0" w:color="auto"/>
            </w:tcBorders>
            <w:vAlign w:val="center"/>
          </w:tcPr>
          <w:p w:rsidR="008C6FF9" w:rsidRDefault="008C6FF9" w:rsidP="00B770AF">
            <w:pPr>
              <w:rPr>
                <w:rFonts w:ascii="Arial" w:hAnsi="Arial" w:cs="Arial"/>
              </w:rPr>
            </w:pPr>
            <w:r>
              <w:rPr>
                <w:rFonts w:ascii="Arial" w:hAnsi="Arial" w:cs="Arial"/>
              </w:rPr>
              <w:t xml:space="preserve">Participate in </w:t>
            </w:r>
            <w:r w:rsidRPr="00D75EDB">
              <w:rPr>
                <w:rFonts w:ascii="Arial" w:hAnsi="Arial" w:cs="Arial"/>
              </w:rPr>
              <w:t>Routine Project Team Meetings and Progress Reporting</w:t>
            </w:r>
          </w:p>
        </w:tc>
        <w:tc>
          <w:tcPr>
            <w:tcW w:w="2268" w:type="dxa"/>
            <w:tcBorders>
              <w:top w:val="single" w:sz="4" w:space="0" w:color="auto"/>
              <w:left w:val="single" w:sz="4" w:space="0" w:color="auto"/>
              <w:bottom w:val="single" w:sz="4" w:space="0" w:color="auto"/>
              <w:right w:val="single" w:sz="4" w:space="0" w:color="auto"/>
            </w:tcBorders>
          </w:tcPr>
          <w:p w:rsidR="008C6FF9" w:rsidRDefault="008C6FF9" w:rsidP="00B770AF">
            <w:pPr>
              <w:rPr>
                <w:rFonts w:ascii="Arial" w:hAnsi="Arial" w:cs="Arial"/>
              </w:rPr>
            </w:pPr>
            <w:r>
              <w:rPr>
                <w:rFonts w:ascii="Arial" w:hAnsi="Arial" w:cs="Arial"/>
              </w:rPr>
              <w:t>Daily</w:t>
            </w:r>
          </w:p>
        </w:tc>
      </w:tr>
    </w:tbl>
    <w:p w:rsidR="008C6FF9" w:rsidRPr="00FC46D3" w:rsidRDefault="008C6FF9" w:rsidP="008C6FF9">
      <w:pPr>
        <w:autoSpaceDE w:val="0"/>
        <w:autoSpaceDN w:val="0"/>
        <w:adjustRightInd w:val="0"/>
        <w:ind w:left="720"/>
        <w:rPr>
          <w:rFonts w:ascii="Arial" w:hAnsi="Arial" w:cs="Arial"/>
        </w:rPr>
      </w:pPr>
    </w:p>
    <w:p w:rsidR="008C6FF9" w:rsidRPr="00FC46D3" w:rsidRDefault="008C6FF9" w:rsidP="008C6FF9">
      <w:pPr>
        <w:autoSpaceDE w:val="0"/>
        <w:autoSpaceDN w:val="0"/>
        <w:adjustRightInd w:val="0"/>
        <w:jc w:val="center"/>
        <w:rPr>
          <w:rFonts w:ascii="Arial" w:hAnsi="Arial" w:cs="Arial"/>
        </w:rPr>
      </w:pPr>
    </w:p>
    <w:p w:rsidR="008C6FF9" w:rsidRPr="0098324C" w:rsidRDefault="008C6FF9" w:rsidP="008C6FF9">
      <w:pPr>
        <w:rPr>
          <w:rFonts w:ascii="Arial" w:hAnsi="Arial" w:cs="Arial"/>
        </w:rPr>
      </w:pPr>
      <w:r w:rsidRPr="0098324C">
        <w:rPr>
          <w:rFonts w:ascii="Arial" w:hAnsi="Arial" w:cs="Arial"/>
        </w:rPr>
        <w:t>4.</w:t>
      </w:r>
      <w:r w:rsidRPr="0098324C">
        <w:rPr>
          <w:rFonts w:ascii="Arial" w:hAnsi="Arial" w:cs="Arial"/>
        </w:rPr>
        <w:tab/>
        <w:t>Acceptance Criteria.</w:t>
      </w:r>
      <w:r w:rsidRPr="0098324C">
        <w:rPr>
          <w:rFonts w:ascii="Arial" w:hAnsi="Arial" w:cs="Arial"/>
        </w:rPr>
        <w:tab/>
      </w:r>
    </w:p>
    <w:p w:rsidR="008C6FF9" w:rsidRDefault="008C6FF9" w:rsidP="008C6FF9">
      <w:pPr>
        <w:ind w:left="720"/>
        <w:rPr>
          <w:rFonts w:ascii="Arial" w:hAnsi="Arial" w:cs="Arial"/>
        </w:rPr>
      </w:pPr>
      <w:r w:rsidRPr="0098324C">
        <w:rPr>
          <w:rFonts w:ascii="Arial" w:hAnsi="Arial" w:cs="Arial"/>
        </w:rPr>
        <w:t xml:space="preserve">Performance of Services and each Deliverable will be acceptable or not acceptable in the sole discretion of BMS.  </w:t>
      </w:r>
    </w:p>
    <w:p w:rsidR="008C6FF9" w:rsidRDefault="008C6FF9" w:rsidP="008C6FF9">
      <w:pPr>
        <w:spacing w:after="200" w:line="276" w:lineRule="auto"/>
        <w:rPr>
          <w:rFonts w:ascii="Arial" w:hAnsi="Arial" w:cs="Arial"/>
        </w:rPr>
      </w:pPr>
      <w:r>
        <w:rPr>
          <w:rFonts w:ascii="Arial" w:hAnsi="Arial" w:cs="Arial"/>
        </w:rPr>
        <w:br w:type="page"/>
      </w:r>
    </w:p>
    <w:p w:rsidR="008C6FF9" w:rsidRDefault="008C6FF9" w:rsidP="008C6FF9">
      <w:pPr>
        <w:ind w:left="720"/>
        <w:rPr>
          <w:rFonts w:ascii="Arial" w:hAnsi="Arial" w:cs="Arial"/>
        </w:rPr>
      </w:pPr>
    </w:p>
    <w:p w:rsidR="008C6FF9" w:rsidRPr="0098324C" w:rsidRDefault="008C6FF9" w:rsidP="008C6FF9">
      <w:pPr>
        <w:spacing w:after="200" w:line="276" w:lineRule="auto"/>
        <w:rPr>
          <w:rFonts w:ascii="Arial" w:hAnsi="Arial" w:cs="Arial"/>
          <w:highlight w:val="yellow"/>
        </w:rPr>
      </w:pPr>
      <w:r w:rsidRPr="0098324C">
        <w:rPr>
          <w:rFonts w:ascii="Arial" w:hAnsi="Arial" w:cs="Arial"/>
        </w:rPr>
        <w:t>5.</w:t>
      </w:r>
      <w:r w:rsidRPr="0098324C">
        <w:rPr>
          <w:rFonts w:ascii="Arial" w:hAnsi="Arial" w:cs="Arial"/>
        </w:rPr>
        <w:tab/>
        <w:t xml:space="preserve">Compensation.  </w:t>
      </w:r>
    </w:p>
    <w:p w:rsidR="008C6FF9" w:rsidRPr="00FC46D3" w:rsidRDefault="008C6FF9" w:rsidP="008C6FF9">
      <w:pPr>
        <w:autoSpaceDE w:val="0"/>
        <w:autoSpaceDN w:val="0"/>
        <w:adjustRightInd w:val="0"/>
        <w:ind w:left="720"/>
        <w:rPr>
          <w:rFonts w:ascii="Arial" w:hAnsi="Arial"/>
        </w:rPr>
      </w:pPr>
      <w:r w:rsidRPr="00FC46D3">
        <w:rPr>
          <w:rFonts w:ascii="Arial" w:hAnsi="Arial"/>
        </w:rPr>
        <w:t>In exchange for services, BMS will pay Sequence on a time and material plus expenses basis.  Details of the cost estimate are listed below.</w:t>
      </w:r>
    </w:p>
    <w:p w:rsidR="008C6FF9" w:rsidRDefault="008C6FF9" w:rsidP="008C6FF9">
      <w:pPr>
        <w:pStyle w:val="BodyText2"/>
        <w:ind w:firstLine="810"/>
        <w:rPr>
          <w:sz w:val="20"/>
          <w:u w:val="single"/>
        </w:rPr>
      </w:pPr>
    </w:p>
    <w:p w:rsidR="008C6FF9" w:rsidRPr="00D2782F" w:rsidRDefault="008C6FF9" w:rsidP="008C6FF9">
      <w:pPr>
        <w:pStyle w:val="BodyText2"/>
        <w:ind w:firstLine="810"/>
        <w:rPr>
          <w:sz w:val="20"/>
          <w:u w:val="single"/>
        </w:rPr>
      </w:pPr>
      <w:r w:rsidRPr="00D2782F">
        <w:rPr>
          <w:sz w:val="20"/>
          <w:u w:val="single"/>
        </w:rPr>
        <w:t>Resource Estimate:</w:t>
      </w:r>
    </w:p>
    <w:p w:rsidR="008C6FF9" w:rsidRDefault="008C6FF9" w:rsidP="008C6FF9">
      <w:pPr>
        <w:pStyle w:val="BodyText2"/>
        <w:ind w:left="810"/>
        <w:rPr>
          <w:sz w:val="20"/>
        </w:rPr>
      </w:pPr>
      <w:r>
        <w:rPr>
          <w:sz w:val="20"/>
        </w:rPr>
        <w:t xml:space="preserve">Data Modeler </w:t>
      </w:r>
      <w:r w:rsidRPr="003C7FBC">
        <w:rPr>
          <w:sz w:val="20"/>
        </w:rPr>
        <w:t xml:space="preserve">– </w:t>
      </w:r>
      <w:r>
        <w:rPr>
          <w:sz w:val="20"/>
        </w:rPr>
        <w:t>1</w:t>
      </w:r>
      <w:r w:rsidR="00391F7D">
        <w:rPr>
          <w:sz w:val="20"/>
        </w:rPr>
        <w:t>76</w:t>
      </w:r>
      <w:r>
        <w:rPr>
          <w:sz w:val="20"/>
        </w:rPr>
        <w:t xml:space="preserve"> </w:t>
      </w:r>
      <w:r w:rsidRPr="003C7FBC">
        <w:rPr>
          <w:sz w:val="20"/>
        </w:rPr>
        <w:t>hours @ $1</w:t>
      </w:r>
      <w:r>
        <w:rPr>
          <w:sz w:val="20"/>
        </w:rPr>
        <w:t>30</w:t>
      </w:r>
      <w:r w:rsidRPr="003C7FBC">
        <w:rPr>
          <w:sz w:val="20"/>
        </w:rPr>
        <w:t>/hour = $</w:t>
      </w:r>
      <w:r w:rsidR="00391F7D">
        <w:rPr>
          <w:sz w:val="20"/>
        </w:rPr>
        <w:t>22,880</w:t>
      </w:r>
    </w:p>
    <w:p w:rsidR="008C6FF9" w:rsidRDefault="008C6FF9" w:rsidP="008C6FF9">
      <w:pPr>
        <w:pStyle w:val="BodyText2"/>
        <w:ind w:left="810"/>
        <w:rPr>
          <w:sz w:val="20"/>
        </w:rPr>
      </w:pPr>
      <w:r>
        <w:rPr>
          <w:sz w:val="20"/>
        </w:rPr>
        <w:t>Validation Expert – 1</w:t>
      </w:r>
      <w:r w:rsidR="00391F7D">
        <w:rPr>
          <w:sz w:val="20"/>
        </w:rPr>
        <w:t>10</w:t>
      </w:r>
      <w:r>
        <w:rPr>
          <w:sz w:val="20"/>
        </w:rPr>
        <w:t xml:space="preserve"> hours @ $105/hour = $</w:t>
      </w:r>
      <w:r w:rsidR="00391F7D">
        <w:rPr>
          <w:sz w:val="20"/>
        </w:rPr>
        <w:t>11,550</w:t>
      </w:r>
    </w:p>
    <w:p w:rsidR="008C6FF9" w:rsidRPr="00953AB3" w:rsidRDefault="008C6FF9" w:rsidP="008C6FF9">
      <w:pPr>
        <w:pStyle w:val="BodyText2"/>
        <w:ind w:left="810"/>
        <w:rPr>
          <w:sz w:val="20"/>
        </w:rPr>
      </w:pPr>
      <w:r>
        <w:rPr>
          <w:sz w:val="20"/>
        </w:rPr>
        <w:t>Total Estimated Resource Cost</w:t>
      </w:r>
      <w:r w:rsidRPr="00953AB3">
        <w:rPr>
          <w:sz w:val="20"/>
        </w:rPr>
        <w:t>: $</w:t>
      </w:r>
      <w:r w:rsidR="00391F7D">
        <w:rPr>
          <w:sz w:val="20"/>
        </w:rPr>
        <w:t>34,430</w:t>
      </w:r>
    </w:p>
    <w:p w:rsidR="008C6FF9" w:rsidRPr="00C671E5" w:rsidRDefault="008C6FF9" w:rsidP="008C6FF9">
      <w:pPr>
        <w:autoSpaceDE w:val="0"/>
        <w:autoSpaceDN w:val="0"/>
        <w:adjustRightInd w:val="0"/>
        <w:ind w:left="810"/>
        <w:rPr>
          <w:rFonts w:ascii="Arial" w:hAnsi="Arial" w:cs="Arial"/>
          <w:i/>
        </w:rPr>
      </w:pPr>
    </w:p>
    <w:p w:rsidR="008C6FF9" w:rsidRPr="00DD7855" w:rsidRDefault="008C6FF9" w:rsidP="008C6FF9">
      <w:pPr>
        <w:autoSpaceDE w:val="0"/>
        <w:autoSpaceDN w:val="0"/>
        <w:adjustRightInd w:val="0"/>
        <w:ind w:left="720"/>
        <w:rPr>
          <w:rFonts w:ascii="Arial" w:hAnsi="Arial" w:cs="Arial"/>
        </w:rPr>
      </w:pPr>
      <w:r w:rsidRPr="00DD7855">
        <w:rPr>
          <w:rFonts w:ascii="Arial" w:hAnsi="Arial" w:cs="Arial"/>
        </w:rPr>
        <w:t xml:space="preserve">BMS WILL ONLY PAY FOR SERVICES ACTUALLY AND PROPERLY PERFORMED UP TO A MAXIMUM OF </w:t>
      </w:r>
      <w:r>
        <w:rPr>
          <w:rFonts w:ascii="Arial" w:hAnsi="Arial" w:cs="Arial"/>
        </w:rPr>
        <w:t>$</w:t>
      </w:r>
      <w:r w:rsidR="00391F7D" w:rsidRPr="00391F7D">
        <w:rPr>
          <w:rFonts w:ascii="Arial" w:hAnsi="Arial" w:cs="Arial"/>
        </w:rPr>
        <w:t>34,430</w:t>
      </w:r>
      <w:r w:rsidR="00391F7D">
        <w:t xml:space="preserve"> </w:t>
      </w:r>
      <w:r w:rsidRPr="00DD7855">
        <w:rPr>
          <w:rFonts w:ascii="Arial" w:hAnsi="Arial" w:cs="Arial"/>
        </w:rPr>
        <w:t>UNDER THIS SOW.</w:t>
      </w:r>
    </w:p>
    <w:p w:rsidR="008C6FF9" w:rsidRPr="00FC46D3" w:rsidRDefault="008C6FF9" w:rsidP="008C6FF9">
      <w:pPr>
        <w:autoSpaceDE w:val="0"/>
        <w:autoSpaceDN w:val="0"/>
        <w:adjustRightInd w:val="0"/>
        <w:ind w:left="720"/>
        <w:rPr>
          <w:rFonts w:ascii="Arial" w:hAnsi="Arial" w:cs="Arial"/>
        </w:rPr>
      </w:pPr>
    </w:p>
    <w:p w:rsidR="008C6FF9" w:rsidRDefault="008C6FF9" w:rsidP="008C6FF9">
      <w:pPr>
        <w:rPr>
          <w:rFonts w:ascii="Arial" w:hAnsi="Arial" w:cs="Arial"/>
        </w:rPr>
      </w:pPr>
      <w:r w:rsidRPr="0098324C">
        <w:rPr>
          <w:rFonts w:ascii="Arial" w:hAnsi="Arial" w:cs="Arial"/>
        </w:rPr>
        <w:t>6.</w:t>
      </w:r>
      <w:r w:rsidRPr="0098324C">
        <w:rPr>
          <w:rFonts w:ascii="Arial" w:hAnsi="Arial" w:cs="Arial"/>
        </w:rPr>
        <w:tab/>
      </w:r>
      <w:r>
        <w:rPr>
          <w:rFonts w:ascii="Arial" w:hAnsi="Arial" w:cs="Arial"/>
        </w:rPr>
        <w:t>Estimated Reimbursable Expenses</w:t>
      </w:r>
    </w:p>
    <w:p w:rsidR="008C6FF9" w:rsidRDefault="008C6FF9" w:rsidP="008C6FF9">
      <w:pPr>
        <w:autoSpaceDE w:val="0"/>
        <w:autoSpaceDN w:val="0"/>
        <w:adjustRightInd w:val="0"/>
        <w:ind w:left="720"/>
        <w:rPr>
          <w:rFonts w:ascii="Arial" w:hAnsi="Arial" w:cs="Arial"/>
        </w:rPr>
      </w:pPr>
      <w:r>
        <w:rPr>
          <w:rFonts w:ascii="Arial" w:hAnsi="Arial" w:cs="Arial"/>
        </w:rPr>
        <w:t>Binder Shipping = $150.00</w:t>
      </w:r>
    </w:p>
    <w:p w:rsidR="008C6FF9" w:rsidRDefault="008C6FF9" w:rsidP="008C6FF9">
      <w:pPr>
        <w:autoSpaceDE w:val="0"/>
        <w:autoSpaceDN w:val="0"/>
        <w:adjustRightInd w:val="0"/>
        <w:ind w:left="720"/>
        <w:rPr>
          <w:rFonts w:ascii="Arial" w:hAnsi="Arial" w:cs="Arial"/>
        </w:rPr>
      </w:pPr>
    </w:p>
    <w:p w:rsidR="008C6FF9" w:rsidRPr="001B1148" w:rsidRDefault="008C6FF9" w:rsidP="008C6FF9">
      <w:pPr>
        <w:autoSpaceDE w:val="0"/>
        <w:autoSpaceDN w:val="0"/>
        <w:adjustRightInd w:val="0"/>
        <w:ind w:left="720"/>
        <w:rPr>
          <w:rFonts w:ascii="Arial" w:hAnsi="Arial" w:cs="Arial"/>
        </w:rPr>
      </w:pPr>
      <w:r w:rsidRPr="002E4951">
        <w:rPr>
          <w:rFonts w:ascii="Arial" w:hAnsi="Arial" w:cs="Arial"/>
        </w:rPr>
        <w:t>BMS WILL ONLY REIMBURSE PRE-APPROVED T&amp;E FOR ACTUAL EXPENSES INCURRED UP TO A MAXIMUM OF $</w:t>
      </w:r>
      <w:r>
        <w:rPr>
          <w:rFonts w:ascii="Arial" w:hAnsi="Arial" w:cs="Arial"/>
        </w:rPr>
        <w:t>150.00</w:t>
      </w:r>
      <w:r w:rsidRPr="002E4951">
        <w:rPr>
          <w:rFonts w:ascii="Arial" w:hAnsi="Arial" w:cs="Arial"/>
        </w:rPr>
        <w:t xml:space="preserve"> UNDER THIS SOW.</w:t>
      </w:r>
    </w:p>
    <w:p w:rsidR="008C6FF9" w:rsidRDefault="008C6FF9" w:rsidP="008C6FF9">
      <w:pPr>
        <w:rPr>
          <w:rFonts w:ascii="Arial" w:hAnsi="Arial" w:cs="Arial"/>
        </w:rPr>
      </w:pPr>
    </w:p>
    <w:p w:rsidR="008C6FF9" w:rsidRDefault="008C6FF9" w:rsidP="008C6FF9">
      <w:pPr>
        <w:autoSpaceDE w:val="0"/>
        <w:autoSpaceDN w:val="0"/>
        <w:adjustRightInd w:val="0"/>
        <w:rPr>
          <w:rFonts w:ascii="Arial" w:hAnsi="Arial" w:cs="Arial"/>
        </w:rPr>
      </w:pPr>
      <w:r>
        <w:rPr>
          <w:rFonts w:ascii="Arial" w:hAnsi="Arial" w:cs="Arial"/>
        </w:rPr>
        <w:t>7.</w:t>
      </w:r>
      <w:r>
        <w:rPr>
          <w:rFonts w:ascii="Arial" w:hAnsi="Arial" w:cs="Arial"/>
        </w:rPr>
        <w:tab/>
        <w:t>Assumptions/Clarifications</w:t>
      </w:r>
    </w:p>
    <w:p w:rsidR="008C6FF9" w:rsidRDefault="008C6FF9" w:rsidP="008C6FF9">
      <w:pPr>
        <w:autoSpaceDE w:val="0"/>
        <w:autoSpaceDN w:val="0"/>
        <w:adjustRightInd w:val="0"/>
        <w:rPr>
          <w:rFonts w:ascii="Arial" w:hAnsi="Arial" w:cs="Arial"/>
        </w:rPr>
      </w:pPr>
    </w:p>
    <w:p w:rsidR="008C6FF9" w:rsidRPr="002E4951" w:rsidRDefault="008C6FF9" w:rsidP="008C6FF9">
      <w:pPr>
        <w:pStyle w:val="ListParagraph"/>
        <w:numPr>
          <w:ilvl w:val="0"/>
          <w:numId w:val="1"/>
        </w:numPr>
        <w:spacing w:after="0" w:line="240" w:lineRule="auto"/>
        <w:rPr>
          <w:rFonts w:ascii="Arial" w:hAnsi="Arial" w:cs="Arial"/>
          <w:sz w:val="20"/>
          <w:szCs w:val="20"/>
        </w:rPr>
      </w:pPr>
      <w:r w:rsidRPr="002E4951">
        <w:rPr>
          <w:rFonts w:ascii="Arial" w:hAnsi="Arial" w:cs="Arial"/>
          <w:sz w:val="20"/>
          <w:szCs w:val="20"/>
        </w:rPr>
        <w:t>All work will be invoiced to BMS at the agreed upon hourly rate contained in this agreement.</w:t>
      </w:r>
    </w:p>
    <w:p w:rsidR="008C6FF9" w:rsidRPr="002E4951" w:rsidRDefault="008C6FF9" w:rsidP="008C6FF9">
      <w:pPr>
        <w:pStyle w:val="ListParagraph"/>
        <w:numPr>
          <w:ilvl w:val="0"/>
          <w:numId w:val="1"/>
        </w:numPr>
        <w:spacing w:after="0" w:line="240" w:lineRule="auto"/>
        <w:rPr>
          <w:rFonts w:ascii="Arial" w:hAnsi="Arial" w:cs="Arial"/>
          <w:sz w:val="20"/>
          <w:szCs w:val="20"/>
        </w:rPr>
      </w:pPr>
      <w:r w:rsidRPr="002E4951">
        <w:rPr>
          <w:rFonts w:ascii="Arial" w:hAnsi="Arial" w:cs="Arial"/>
          <w:sz w:val="20"/>
          <w:szCs w:val="20"/>
        </w:rPr>
        <w:t>Sequence will invoice BMS for each task performed in the amount of actual time it takes for the Sequence resource to complete the task multiplied by the hourly rate contained in this agreement.</w:t>
      </w:r>
    </w:p>
    <w:p w:rsidR="008C6FF9" w:rsidRPr="002E4951" w:rsidRDefault="008C6FF9" w:rsidP="008C6FF9">
      <w:pPr>
        <w:pStyle w:val="ListParagraph"/>
        <w:numPr>
          <w:ilvl w:val="0"/>
          <w:numId w:val="1"/>
        </w:numPr>
        <w:spacing w:after="0" w:line="240" w:lineRule="auto"/>
        <w:rPr>
          <w:rFonts w:ascii="Arial" w:hAnsi="Arial" w:cs="Arial"/>
          <w:sz w:val="20"/>
          <w:szCs w:val="20"/>
        </w:rPr>
      </w:pPr>
      <w:r w:rsidRPr="002E4951">
        <w:rPr>
          <w:rFonts w:ascii="Arial" w:hAnsi="Arial" w:cs="Arial"/>
          <w:sz w:val="20"/>
          <w:szCs w:val="20"/>
        </w:rPr>
        <w:t>At the end of each month, Sequence will provide BMS a report of the time spent by each Sequence resource on the tasks within the scope of this agreement.  BMS personnel will approve, in writing, this report before Sequence submits an invoice for the work.</w:t>
      </w:r>
    </w:p>
    <w:p w:rsidR="008C6FF9" w:rsidRPr="002E4951" w:rsidRDefault="008C6FF9" w:rsidP="008C6FF9">
      <w:pPr>
        <w:pStyle w:val="ListParagraph"/>
        <w:numPr>
          <w:ilvl w:val="0"/>
          <w:numId w:val="1"/>
        </w:numPr>
        <w:spacing w:after="0" w:line="240" w:lineRule="auto"/>
        <w:rPr>
          <w:rFonts w:ascii="Arial" w:hAnsi="Arial" w:cs="Arial"/>
          <w:sz w:val="20"/>
          <w:szCs w:val="20"/>
        </w:rPr>
      </w:pPr>
      <w:r w:rsidRPr="002E4951">
        <w:rPr>
          <w:rFonts w:ascii="Arial" w:hAnsi="Arial" w:cs="Arial"/>
          <w:sz w:val="20"/>
          <w:szCs w:val="20"/>
        </w:rPr>
        <w:t>Sequence will invoice BMS at the beginning of each month for the work performed in the previous month.</w:t>
      </w:r>
    </w:p>
    <w:p w:rsidR="008C6FF9" w:rsidRPr="002E4951" w:rsidRDefault="008C6FF9" w:rsidP="008C6FF9">
      <w:pPr>
        <w:pStyle w:val="ListParagraph"/>
        <w:numPr>
          <w:ilvl w:val="0"/>
          <w:numId w:val="1"/>
        </w:numPr>
        <w:spacing w:after="0" w:line="240" w:lineRule="auto"/>
        <w:rPr>
          <w:rFonts w:ascii="Arial" w:hAnsi="Arial" w:cs="Arial"/>
          <w:sz w:val="20"/>
          <w:szCs w:val="20"/>
        </w:rPr>
      </w:pPr>
      <w:r w:rsidRPr="002E4951">
        <w:rPr>
          <w:rFonts w:ascii="Arial" w:hAnsi="Arial" w:cs="Arial"/>
          <w:sz w:val="20"/>
          <w:szCs w:val="20"/>
        </w:rPr>
        <w:t>It is expected that Sequence will address tasks 5 days per week during normal business hours, excluding holidays and weekends.</w:t>
      </w:r>
    </w:p>
    <w:p w:rsidR="008C6FF9" w:rsidRPr="002E4951" w:rsidRDefault="008C6FF9" w:rsidP="008C6FF9">
      <w:pPr>
        <w:pStyle w:val="ListParagraph"/>
        <w:numPr>
          <w:ilvl w:val="0"/>
          <w:numId w:val="1"/>
        </w:numPr>
        <w:spacing w:after="0" w:line="240" w:lineRule="auto"/>
        <w:rPr>
          <w:rFonts w:ascii="Arial" w:hAnsi="Arial" w:cs="Arial"/>
          <w:sz w:val="20"/>
          <w:szCs w:val="20"/>
        </w:rPr>
      </w:pPr>
      <w:r w:rsidRPr="002E4951">
        <w:rPr>
          <w:rFonts w:ascii="Arial" w:hAnsi="Arial" w:cs="Arial"/>
          <w:sz w:val="20"/>
          <w:szCs w:val="20"/>
        </w:rPr>
        <w:t>Sequence will invoice BMS at the hourly rate specified within this agreement with no provisions for overtime or holiday premiums.</w:t>
      </w:r>
    </w:p>
    <w:p w:rsidR="008C6FF9" w:rsidRPr="002E4951" w:rsidRDefault="008C6FF9" w:rsidP="008C6FF9">
      <w:pPr>
        <w:pStyle w:val="ListParagraph"/>
        <w:numPr>
          <w:ilvl w:val="0"/>
          <w:numId w:val="1"/>
        </w:numPr>
        <w:spacing w:after="0" w:line="240" w:lineRule="auto"/>
        <w:rPr>
          <w:rFonts w:ascii="Arial" w:hAnsi="Arial" w:cs="Arial"/>
          <w:sz w:val="20"/>
          <w:szCs w:val="20"/>
        </w:rPr>
      </w:pPr>
      <w:r w:rsidRPr="002E4951">
        <w:rPr>
          <w:rFonts w:ascii="Arial" w:hAnsi="Arial" w:cs="Arial"/>
          <w:sz w:val="20"/>
          <w:szCs w:val="20"/>
        </w:rPr>
        <w:t>It will occasionally be required for Sequence personnel to travel to a BMS site or other location for the execution of tasks covered by this agreement.  This travel will be pre-approved by BMS and must be in accordance with relevant BMS policies.</w:t>
      </w:r>
    </w:p>
    <w:p w:rsidR="008C6FF9" w:rsidRPr="002E4951" w:rsidRDefault="008C6FF9" w:rsidP="008C6FF9">
      <w:pPr>
        <w:pStyle w:val="ListParagraph"/>
        <w:numPr>
          <w:ilvl w:val="0"/>
          <w:numId w:val="1"/>
        </w:numPr>
        <w:spacing w:after="0" w:line="240" w:lineRule="auto"/>
        <w:rPr>
          <w:rFonts w:ascii="Arial" w:hAnsi="Arial" w:cs="Arial"/>
          <w:sz w:val="20"/>
          <w:szCs w:val="20"/>
        </w:rPr>
      </w:pPr>
      <w:r w:rsidRPr="002E4951">
        <w:rPr>
          <w:rFonts w:ascii="Arial" w:hAnsi="Arial" w:cs="Arial"/>
          <w:sz w:val="20"/>
          <w:szCs w:val="20"/>
        </w:rPr>
        <w:t>Sequence will charge pass through costs where applicable (i.e. travel)</w:t>
      </w:r>
      <w:r>
        <w:rPr>
          <w:rFonts w:ascii="Arial" w:hAnsi="Arial" w:cs="Arial"/>
          <w:sz w:val="20"/>
          <w:szCs w:val="20"/>
        </w:rPr>
        <w:t xml:space="preserve"> that are pre-approved by BMS</w:t>
      </w:r>
      <w:r w:rsidRPr="002E4951">
        <w:rPr>
          <w:rFonts w:ascii="Arial" w:hAnsi="Arial" w:cs="Arial"/>
          <w:sz w:val="20"/>
          <w:szCs w:val="20"/>
        </w:rPr>
        <w:t>.</w:t>
      </w:r>
    </w:p>
    <w:p w:rsidR="008C6FF9" w:rsidRPr="0098324C" w:rsidRDefault="008C6FF9" w:rsidP="008C6FF9">
      <w:pPr>
        <w:rPr>
          <w:rFonts w:ascii="Arial" w:hAnsi="Arial" w:cs="Arial"/>
        </w:rPr>
      </w:pPr>
    </w:p>
    <w:p w:rsidR="008C6FF9" w:rsidRPr="0098324C" w:rsidRDefault="008C6FF9" w:rsidP="008C6FF9">
      <w:pPr>
        <w:ind w:left="720" w:hanging="720"/>
        <w:rPr>
          <w:rFonts w:ascii="Arial" w:hAnsi="Arial" w:cs="Arial"/>
        </w:rPr>
      </w:pPr>
      <w:r>
        <w:rPr>
          <w:rFonts w:ascii="Arial" w:hAnsi="Arial" w:cs="Arial"/>
        </w:rPr>
        <w:t>8</w:t>
      </w:r>
      <w:r w:rsidRPr="0098324C">
        <w:rPr>
          <w:rFonts w:ascii="Arial" w:hAnsi="Arial" w:cs="Arial"/>
        </w:rPr>
        <w:t>.</w:t>
      </w:r>
      <w:r w:rsidRPr="0098324C">
        <w:rPr>
          <w:rFonts w:ascii="Arial" w:hAnsi="Arial" w:cs="Arial"/>
        </w:rPr>
        <w:tab/>
        <w:t xml:space="preserve">Invoicing.  </w:t>
      </w:r>
      <w:r>
        <w:rPr>
          <w:rFonts w:ascii="Arial" w:hAnsi="Arial" w:cs="Arial"/>
        </w:rPr>
        <w:t xml:space="preserve"> </w:t>
      </w:r>
    </w:p>
    <w:p w:rsidR="008C6FF9" w:rsidRPr="0098324C" w:rsidRDefault="008C6FF9" w:rsidP="008C6FF9">
      <w:pPr>
        <w:ind w:left="720"/>
        <w:rPr>
          <w:rFonts w:ascii="Arial" w:hAnsi="Arial" w:cs="Arial"/>
        </w:rPr>
      </w:pPr>
      <w:r w:rsidRPr="0098324C">
        <w:rPr>
          <w:rFonts w:ascii="Arial" w:hAnsi="Arial" w:cs="Arial"/>
        </w:rPr>
        <w:t>(a)</w:t>
      </w:r>
      <w:r w:rsidRPr="0098324C">
        <w:rPr>
          <w:rFonts w:ascii="Arial" w:hAnsi="Arial" w:cs="Arial"/>
        </w:rPr>
        <w:tab/>
        <w:t xml:space="preserve">Service Provider shall send invoices via </w:t>
      </w:r>
      <w:proofErr w:type="spellStart"/>
      <w:r w:rsidRPr="0098324C">
        <w:rPr>
          <w:rFonts w:ascii="Arial" w:hAnsi="Arial" w:cs="Arial"/>
        </w:rPr>
        <w:t>WebEDI</w:t>
      </w:r>
      <w:proofErr w:type="spellEnd"/>
      <w:r w:rsidRPr="0098324C">
        <w:rPr>
          <w:rFonts w:ascii="Arial" w:hAnsi="Arial" w:cs="Arial"/>
        </w:rPr>
        <w:t xml:space="preserve"> </w:t>
      </w:r>
    </w:p>
    <w:p w:rsidR="008C6FF9" w:rsidRPr="0098324C" w:rsidRDefault="008C6FF9" w:rsidP="008C6FF9">
      <w:pPr>
        <w:ind w:firstLine="720"/>
        <w:rPr>
          <w:rFonts w:ascii="Arial" w:hAnsi="Arial" w:cs="Arial"/>
        </w:rPr>
      </w:pPr>
      <w:r w:rsidRPr="0098324C">
        <w:rPr>
          <w:rFonts w:ascii="Arial" w:hAnsi="Arial" w:cs="Arial"/>
        </w:rPr>
        <w:t>(b)</w:t>
      </w:r>
      <w:r w:rsidRPr="0098324C">
        <w:rPr>
          <w:rFonts w:ascii="Arial" w:hAnsi="Arial" w:cs="Arial"/>
        </w:rPr>
        <w:tab/>
        <w:t>Service Provider shall send invoice(s) only upon:</w:t>
      </w:r>
    </w:p>
    <w:p w:rsidR="008C6FF9" w:rsidRPr="00F86C3E" w:rsidRDefault="008C6FF9" w:rsidP="008C6FF9">
      <w:pPr>
        <w:pStyle w:val="BodyText2"/>
        <w:ind w:left="1440"/>
        <w:rPr>
          <w:sz w:val="20"/>
        </w:rPr>
      </w:pPr>
      <w:bookmarkStart w:id="0" w:name="_PictureBullets"/>
      <w:bookmarkEnd w:id="0"/>
      <w:r w:rsidRPr="00F86C3E">
        <w:rPr>
          <w:sz w:val="20"/>
        </w:rPr>
        <w:t>Sequence will invoice BMS for cost of services and any reimbursable expenses (reimbursable expenses - expenses incurred which are exclusive to producing a validation consulting deliverable for BMS) on a monthly basis</w:t>
      </w:r>
      <w:r>
        <w:rPr>
          <w:sz w:val="20"/>
        </w:rPr>
        <w:t xml:space="preserve"> for work done in the previous month</w:t>
      </w:r>
      <w:r w:rsidRPr="00F86C3E">
        <w:rPr>
          <w:sz w:val="20"/>
        </w:rPr>
        <w:t xml:space="preserve">. </w:t>
      </w:r>
    </w:p>
    <w:p w:rsidR="008C6FF9" w:rsidRDefault="008C6FF9" w:rsidP="008C6FF9">
      <w:pPr>
        <w:pStyle w:val="BodyText2"/>
        <w:rPr>
          <w:szCs w:val="22"/>
        </w:rPr>
      </w:pPr>
    </w:p>
    <w:p w:rsidR="008C6FF9" w:rsidRPr="004723A9" w:rsidRDefault="008C6FF9" w:rsidP="008C6FF9">
      <w:pPr>
        <w:pStyle w:val="BodyText2"/>
        <w:rPr>
          <w:sz w:val="20"/>
        </w:rPr>
      </w:pPr>
      <w:r w:rsidRPr="004723A9">
        <w:rPr>
          <w:sz w:val="20"/>
        </w:rPr>
        <w:t>Any changes to this SOW will be documented via an amendment agreed upon and signed by both BMS and Service Provider.</w:t>
      </w:r>
    </w:p>
    <w:p w:rsidR="009708E2" w:rsidRDefault="009708E2">
      <w:pPr>
        <w:spacing w:after="160" w:line="259" w:lineRule="auto"/>
        <w:rPr>
          <w:rFonts w:ascii="Arial" w:hAnsi="Arial" w:cs="Arial"/>
        </w:rPr>
      </w:pPr>
      <w:r>
        <w:rPr>
          <w:rFonts w:ascii="Arial" w:hAnsi="Arial" w:cs="Arial"/>
        </w:rPr>
        <w:br w:type="page"/>
      </w:r>
    </w:p>
    <w:p w:rsidR="009708E2" w:rsidRDefault="009708E2" w:rsidP="009708E2">
      <w:pPr>
        <w:rPr>
          <w:rFonts w:ascii="Arial" w:hAnsi="Arial" w:cs="Arial"/>
        </w:rPr>
      </w:pPr>
      <w:r w:rsidRPr="0098324C">
        <w:rPr>
          <w:rFonts w:ascii="Arial" w:hAnsi="Arial" w:cs="Arial"/>
        </w:rPr>
        <w:lastRenderedPageBreak/>
        <w:t>In order to demonstrate their agreement, the parties have executed this Statement of Work as of the Effective Date of this SOW.</w:t>
      </w:r>
    </w:p>
    <w:p w:rsidR="009708E2" w:rsidRDefault="009708E2" w:rsidP="009708E2">
      <w:pPr>
        <w:rPr>
          <w:rFonts w:ascii="Arial" w:hAnsi="Arial" w:cs="Arial"/>
        </w:rPr>
      </w:pPr>
    </w:p>
    <w:p w:rsidR="009708E2" w:rsidRPr="0098324C" w:rsidRDefault="009708E2" w:rsidP="009708E2">
      <w:pPr>
        <w:rPr>
          <w:rFonts w:ascii="Arial" w:hAnsi="Arial" w:cs="Arial"/>
        </w:rPr>
      </w:pPr>
    </w:p>
    <w:p w:rsidR="009708E2" w:rsidRPr="0098324C" w:rsidRDefault="009708E2" w:rsidP="009708E2">
      <w:pPr>
        <w:rPr>
          <w:rFonts w:ascii="Arial" w:hAnsi="Arial" w:cs="Arial"/>
        </w:rPr>
      </w:pPr>
      <w:r w:rsidRPr="0098324C">
        <w:rPr>
          <w:rFonts w:ascii="Arial" w:hAnsi="Arial" w:cs="Arial"/>
        </w:rPr>
        <w:t>Agreed and Accepted:</w:t>
      </w:r>
      <w:r w:rsidRPr="0098324C">
        <w:rPr>
          <w:rFonts w:ascii="Arial" w:hAnsi="Arial" w:cs="Arial"/>
        </w:rPr>
        <w:tab/>
      </w:r>
      <w:r w:rsidRPr="0098324C">
        <w:rPr>
          <w:rFonts w:ascii="Arial" w:hAnsi="Arial" w:cs="Arial"/>
        </w:rPr>
        <w:tab/>
      </w:r>
      <w:r w:rsidRPr="0098324C">
        <w:rPr>
          <w:rFonts w:ascii="Arial" w:hAnsi="Arial" w:cs="Arial"/>
        </w:rPr>
        <w:tab/>
      </w:r>
      <w:r w:rsidRPr="0098324C">
        <w:rPr>
          <w:rFonts w:ascii="Arial" w:hAnsi="Arial" w:cs="Arial"/>
        </w:rPr>
        <w:tab/>
      </w:r>
      <w:r w:rsidRPr="0098324C">
        <w:rPr>
          <w:rFonts w:ascii="Arial" w:hAnsi="Arial" w:cs="Arial"/>
        </w:rPr>
        <w:tab/>
        <w:t>Agreed and Accepted:</w:t>
      </w:r>
    </w:p>
    <w:p w:rsidR="009708E2" w:rsidRPr="0098324C" w:rsidRDefault="009708E2" w:rsidP="009708E2">
      <w:pPr>
        <w:rPr>
          <w:rFonts w:ascii="Arial" w:hAnsi="Arial" w:cs="Arial"/>
        </w:rPr>
      </w:pPr>
      <w:r w:rsidRPr="0098324C">
        <w:rPr>
          <w:rFonts w:ascii="Arial" w:hAnsi="Arial" w:cs="Arial"/>
        </w:rPr>
        <w:tab/>
      </w:r>
      <w:r w:rsidRPr="0098324C">
        <w:rPr>
          <w:rFonts w:ascii="Arial" w:hAnsi="Arial" w:cs="Arial"/>
        </w:rPr>
        <w:tab/>
      </w:r>
      <w:r w:rsidRPr="0098324C">
        <w:rPr>
          <w:rFonts w:ascii="Arial" w:hAnsi="Arial" w:cs="Arial"/>
        </w:rPr>
        <w:tab/>
      </w:r>
      <w:r w:rsidRPr="0098324C">
        <w:rPr>
          <w:rFonts w:ascii="Arial" w:hAnsi="Arial" w:cs="Arial"/>
        </w:rPr>
        <w:tab/>
      </w:r>
    </w:p>
    <w:p w:rsidR="009708E2" w:rsidRDefault="009708E2" w:rsidP="009708E2">
      <w:pPr>
        <w:rPr>
          <w:rFonts w:ascii="Arial" w:hAnsi="Arial" w:cs="Arial"/>
        </w:rPr>
      </w:pPr>
      <w:r>
        <w:rPr>
          <w:rFonts w:ascii="Arial" w:hAnsi="Arial" w:cs="Arial"/>
          <w:b/>
        </w:rPr>
        <w:t xml:space="preserve">Bristol-Myers Squibb Company             </w:t>
      </w:r>
      <w:r>
        <w:rPr>
          <w:rFonts w:ascii="Arial" w:hAnsi="Arial" w:cs="Arial"/>
          <w:b/>
        </w:rPr>
        <w:tab/>
      </w:r>
      <w:r>
        <w:rPr>
          <w:rFonts w:ascii="Arial" w:hAnsi="Arial" w:cs="Arial"/>
          <w:b/>
        </w:rPr>
        <w:tab/>
        <w:t xml:space="preserve">Sequence, Inc.                                                   </w:t>
      </w:r>
    </w:p>
    <w:p w:rsidR="009708E2" w:rsidRDefault="009708E2" w:rsidP="009708E2">
      <w:pPr>
        <w:rPr>
          <w:rFonts w:ascii="Arial" w:hAnsi="Arial" w:cs="Arial"/>
        </w:rPr>
      </w:pPr>
    </w:p>
    <w:tbl>
      <w:tblPr>
        <w:tblW w:w="0" w:type="auto"/>
        <w:tblCellMar>
          <w:top w:w="45" w:type="dxa"/>
          <w:left w:w="45" w:type="dxa"/>
          <w:bottom w:w="45" w:type="dxa"/>
          <w:right w:w="45" w:type="dxa"/>
        </w:tblCellMar>
        <w:tblLook w:val="04A0" w:firstRow="1" w:lastRow="0" w:firstColumn="1" w:lastColumn="0" w:noHBand="0" w:noVBand="1"/>
      </w:tblPr>
      <w:tblGrid>
        <w:gridCol w:w="797"/>
        <w:gridCol w:w="3840"/>
        <w:gridCol w:w="797"/>
        <w:gridCol w:w="3840"/>
      </w:tblGrid>
      <w:tr w:rsidR="009708E2" w:rsidTr="00B770AF">
        <w:tc>
          <w:tcPr>
            <w:tcW w:w="0" w:type="auto"/>
            <w:hideMark/>
          </w:tcPr>
          <w:p w:rsidR="009708E2" w:rsidRDefault="009708E2" w:rsidP="00B770AF">
            <w:pPr>
              <w:pStyle w:val="NormalWeb"/>
              <w:spacing w:line="260" w:lineRule="atLeast"/>
              <w:rPr>
                <w:rFonts w:ascii="Arial" w:hAnsi="Arial" w:cs="Arial"/>
              </w:rPr>
            </w:pPr>
            <w:r>
              <w:rPr>
                <w:rFonts w:ascii="Arial" w:hAnsi="Arial" w:cs="Arial"/>
              </w:rPr>
              <w:br/>
            </w:r>
            <w:r>
              <w:rPr>
                <w:rFonts w:ascii="Arial" w:hAnsi="Arial" w:cs="Arial"/>
                <w:color w:val="000000"/>
                <w:bdr w:val="none" w:sz="0" w:space="0" w:color="auto" w:frame="1"/>
              </w:rPr>
              <w:t>By:</w:t>
            </w:r>
          </w:p>
        </w:tc>
        <w:tc>
          <w:tcPr>
            <w:tcW w:w="0" w:type="auto"/>
            <w:hideMark/>
          </w:tcPr>
          <w:p w:rsidR="009708E2" w:rsidRDefault="009708E2" w:rsidP="00B770AF">
            <w:pPr>
              <w:pStyle w:val="NormalWeb"/>
              <w:spacing w:line="260" w:lineRule="atLeast"/>
              <w:rPr>
                <w:rFonts w:ascii="Arial" w:hAnsi="Arial" w:cs="Arial"/>
              </w:rPr>
            </w:pPr>
            <w:r>
              <w:rPr>
                <w:rFonts w:ascii="Arial" w:hAnsi="Arial" w:cs="Arial"/>
              </w:rPr>
              <w:br/>
            </w:r>
            <w:r>
              <w:rPr>
                <w:rFonts w:ascii="Arial" w:hAnsi="Arial" w:cs="Arial"/>
                <w:color w:val="000000"/>
                <w:bdr w:val="none" w:sz="0" w:space="0" w:color="auto" w:frame="1"/>
              </w:rPr>
              <w:t>{{_es_signer1_signature               }}</w:t>
            </w:r>
          </w:p>
        </w:tc>
        <w:tc>
          <w:tcPr>
            <w:tcW w:w="0" w:type="auto"/>
            <w:hideMark/>
          </w:tcPr>
          <w:p w:rsidR="009708E2" w:rsidRDefault="009708E2" w:rsidP="00B770AF">
            <w:pPr>
              <w:pStyle w:val="NormalWeb"/>
              <w:spacing w:line="260" w:lineRule="atLeast"/>
              <w:rPr>
                <w:rFonts w:ascii="Arial" w:hAnsi="Arial" w:cs="Arial"/>
              </w:rPr>
            </w:pPr>
            <w:r>
              <w:rPr>
                <w:rFonts w:ascii="Arial" w:hAnsi="Arial" w:cs="Arial"/>
              </w:rPr>
              <w:br/>
            </w:r>
            <w:r>
              <w:rPr>
                <w:rFonts w:ascii="Arial" w:hAnsi="Arial" w:cs="Arial"/>
                <w:color w:val="000000"/>
                <w:bdr w:val="none" w:sz="0" w:space="0" w:color="auto" w:frame="1"/>
              </w:rPr>
              <w:t>By:</w:t>
            </w:r>
          </w:p>
        </w:tc>
        <w:tc>
          <w:tcPr>
            <w:tcW w:w="0" w:type="auto"/>
            <w:hideMark/>
          </w:tcPr>
          <w:p w:rsidR="009708E2" w:rsidRDefault="009708E2" w:rsidP="00B770AF">
            <w:pPr>
              <w:pStyle w:val="NormalWeb"/>
              <w:spacing w:line="260" w:lineRule="atLeast"/>
              <w:rPr>
                <w:rFonts w:ascii="Arial" w:hAnsi="Arial" w:cs="Arial"/>
              </w:rPr>
            </w:pPr>
            <w:r>
              <w:rPr>
                <w:rFonts w:ascii="Arial" w:hAnsi="Arial" w:cs="Arial"/>
              </w:rPr>
              <w:br/>
            </w:r>
            <w:r>
              <w:rPr>
                <w:rFonts w:ascii="Arial" w:hAnsi="Arial" w:cs="Arial"/>
                <w:color w:val="000000"/>
                <w:bdr w:val="none" w:sz="0" w:space="0" w:color="auto" w:frame="1"/>
              </w:rPr>
              <w:t>{{_es_signer2_signature               }}</w:t>
            </w:r>
          </w:p>
        </w:tc>
      </w:tr>
      <w:tr w:rsidR="009708E2" w:rsidTr="00B770AF">
        <w:tc>
          <w:tcPr>
            <w:tcW w:w="0" w:type="auto"/>
            <w:hideMark/>
          </w:tcPr>
          <w:p w:rsidR="009708E2" w:rsidRDefault="009708E2" w:rsidP="00B770AF">
            <w:pPr>
              <w:pStyle w:val="NormalWeb"/>
              <w:spacing w:line="260" w:lineRule="atLeast"/>
              <w:rPr>
                <w:rFonts w:ascii="Arial" w:hAnsi="Arial" w:cs="Arial"/>
              </w:rPr>
            </w:pPr>
            <w:r>
              <w:rPr>
                <w:rFonts w:ascii="Arial" w:hAnsi="Arial" w:cs="Arial"/>
              </w:rPr>
              <w:br/>
            </w:r>
            <w:r>
              <w:rPr>
                <w:rFonts w:ascii="Arial" w:hAnsi="Arial" w:cs="Arial"/>
                <w:color w:val="000000"/>
                <w:bdr w:val="none" w:sz="0" w:space="0" w:color="auto" w:frame="1"/>
              </w:rPr>
              <w:t>Name:</w:t>
            </w:r>
          </w:p>
        </w:tc>
        <w:tc>
          <w:tcPr>
            <w:tcW w:w="0" w:type="auto"/>
            <w:hideMark/>
          </w:tcPr>
          <w:p w:rsidR="009708E2" w:rsidRDefault="009708E2" w:rsidP="00B770AF">
            <w:pPr>
              <w:pStyle w:val="NormalWeb"/>
              <w:spacing w:line="260" w:lineRule="atLeast"/>
              <w:rPr>
                <w:rFonts w:ascii="Arial" w:hAnsi="Arial" w:cs="Arial"/>
              </w:rPr>
            </w:pPr>
            <w:r>
              <w:rPr>
                <w:rFonts w:ascii="Arial" w:hAnsi="Arial" w:cs="Arial"/>
              </w:rPr>
              <w:br/>
            </w:r>
            <w:r>
              <w:rPr>
                <w:rFonts w:ascii="Arial" w:hAnsi="Arial" w:cs="Arial"/>
                <w:color w:val="000000"/>
                <w:bdr w:val="none" w:sz="0" w:space="0" w:color="auto" w:frame="1"/>
              </w:rPr>
              <w:t>{{_es_signer1_fullname                }}</w:t>
            </w:r>
          </w:p>
        </w:tc>
        <w:tc>
          <w:tcPr>
            <w:tcW w:w="0" w:type="auto"/>
            <w:hideMark/>
          </w:tcPr>
          <w:p w:rsidR="009708E2" w:rsidRDefault="009708E2" w:rsidP="00B770AF">
            <w:pPr>
              <w:pStyle w:val="NormalWeb"/>
              <w:spacing w:line="260" w:lineRule="atLeast"/>
              <w:rPr>
                <w:rFonts w:ascii="Arial" w:hAnsi="Arial" w:cs="Arial"/>
              </w:rPr>
            </w:pPr>
            <w:r>
              <w:rPr>
                <w:rFonts w:ascii="Arial" w:hAnsi="Arial" w:cs="Arial"/>
              </w:rPr>
              <w:br/>
            </w:r>
            <w:r>
              <w:rPr>
                <w:rFonts w:ascii="Arial" w:hAnsi="Arial" w:cs="Arial"/>
                <w:color w:val="000000"/>
                <w:bdr w:val="none" w:sz="0" w:space="0" w:color="auto" w:frame="1"/>
              </w:rPr>
              <w:t>Name:</w:t>
            </w:r>
          </w:p>
        </w:tc>
        <w:tc>
          <w:tcPr>
            <w:tcW w:w="0" w:type="auto"/>
            <w:hideMark/>
          </w:tcPr>
          <w:p w:rsidR="009708E2" w:rsidRDefault="009708E2" w:rsidP="00B770AF">
            <w:pPr>
              <w:pStyle w:val="NormalWeb"/>
              <w:spacing w:line="260" w:lineRule="atLeast"/>
              <w:rPr>
                <w:rFonts w:ascii="Arial" w:hAnsi="Arial" w:cs="Arial"/>
              </w:rPr>
            </w:pPr>
            <w:r>
              <w:rPr>
                <w:rFonts w:ascii="Arial" w:hAnsi="Arial" w:cs="Arial"/>
              </w:rPr>
              <w:br/>
            </w:r>
            <w:r>
              <w:rPr>
                <w:rFonts w:ascii="Arial" w:hAnsi="Arial" w:cs="Arial"/>
                <w:color w:val="000000"/>
                <w:bdr w:val="none" w:sz="0" w:space="0" w:color="auto" w:frame="1"/>
              </w:rPr>
              <w:t>{{_es_signer2_fullname                }}</w:t>
            </w:r>
          </w:p>
        </w:tc>
      </w:tr>
      <w:tr w:rsidR="009708E2" w:rsidTr="00B770AF">
        <w:tc>
          <w:tcPr>
            <w:tcW w:w="0" w:type="auto"/>
            <w:hideMark/>
          </w:tcPr>
          <w:p w:rsidR="009708E2" w:rsidRDefault="009708E2" w:rsidP="00B770AF">
            <w:pPr>
              <w:pStyle w:val="NormalWeb"/>
              <w:spacing w:line="260" w:lineRule="atLeast"/>
              <w:rPr>
                <w:rFonts w:ascii="Arial" w:hAnsi="Arial" w:cs="Arial"/>
              </w:rPr>
            </w:pPr>
            <w:r>
              <w:rPr>
                <w:rFonts w:ascii="Arial" w:hAnsi="Arial" w:cs="Arial"/>
              </w:rPr>
              <w:br/>
            </w:r>
            <w:r>
              <w:rPr>
                <w:rFonts w:ascii="Arial" w:hAnsi="Arial" w:cs="Arial"/>
                <w:color w:val="000000"/>
                <w:bdr w:val="none" w:sz="0" w:space="0" w:color="auto" w:frame="1"/>
              </w:rPr>
              <w:t>Title:</w:t>
            </w:r>
          </w:p>
        </w:tc>
        <w:tc>
          <w:tcPr>
            <w:tcW w:w="0" w:type="auto"/>
            <w:hideMark/>
          </w:tcPr>
          <w:p w:rsidR="009708E2" w:rsidRDefault="009708E2" w:rsidP="00B770AF">
            <w:pPr>
              <w:pStyle w:val="NormalWeb"/>
              <w:spacing w:line="260" w:lineRule="atLeast"/>
              <w:rPr>
                <w:rFonts w:ascii="Arial" w:hAnsi="Arial" w:cs="Arial"/>
              </w:rPr>
            </w:pPr>
            <w:r>
              <w:rPr>
                <w:rFonts w:ascii="Arial" w:hAnsi="Arial" w:cs="Arial"/>
              </w:rPr>
              <w:br/>
            </w:r>
            <w:r>
              <w:rPr>
                <w:rFonts w:ascii="Arial" w:hAnsi="Arial" w:cs="Arial"/>
                <w:color w:val="000000"/>
                <w:bdr w:val="none" w:sz="0" w:space="0" w:color="auto" w:frame="1"/>
              </w:rPr>
              <w:t>{{_es_signer1_title                        }}</w:t>
            </w:r>
          </w:p>
        </w:tc>
        <w:tc>
          <w:tcPr>
            <w:tcW w:w="0" w:type="auto"/>
            <w:hideMark/>
          </w:tcPr>
          <w:p w:rsidR="009708E2" w:rsidRDefault="009708E2" w:rsidP="00B770AF">
            <w:pPr>
              <w:pStyle w:val="NormalWeb"/>
              <w:spacing w:line="260" w:lineRule="atLeast"/>
              <w:rPr>
                <w:rFonts w:ascii="Arial" w:hAnsi="Arial" w:cs="Arial"/>
              </w:rPr>
            </w:pPr>
            <w:r>
              <w:rPr>
                <w:rFonts w:ascii="Arial" w:hAnsi="Arial" w:cs="Arial"/>
              </w:rPr>
              <w:br/>
            </w:r>
            <w:r>
              <w:rPr>
                <w:rFonts w:ascii="Arial" w:hAnsi="Arial" w:cs="Arial"/>
                <w:color w:val="000000"/>
                <w:bdr w:val="none" w:sz="0" w:space="0" w:color="auto" w:frame="1"/>
              </w:rPr>
              <w:t>Title:</w:t>
            </w:r>
          </w:p>
        </w:tc>
        <w:tc>
          <w:tcPr>
            <w:tcW w:w="0" w:type="auto"/>
            <w:hideMark/>
          </w:tcPr>
          <w:p w:rsidR="009708E2" w:rsidRDefault="009708E2" w:rsidP="00B770AF">
            <w:pPr>
              <w:pStyle w:val="NormalWeb"/>
              <w:spacing w:line="260" w:lineRule="atLeast"/>
              <w:rPr>
                <w:rFonts w:ascii="Arial" w:hAnsi="Arial" w:cs="Arial"/>
              </w:rPr>
            </w:pPr>
            <w:r>
              <w:rPr>
                <w:rFonts w:ascii="Arial" w:hAnsi="Arial" w:cs="Arial"/>
              </w:rPr>
              <w:br/>
            </w:r>
            <w:r>
              <w:rPr>
                <w:rFonts w:ascii="Arial" w:hAnsi="Arial" w:cs="Arial"/>
                <w:color w:val="000000"/>
                <w:bdr w:val="none" w:sz="0" w:space="0" w:color="auto" w:frame="1"/>
              </w:rPr>
              <w:t>{{_es_signer2_title                        }}</w:t>
            </w:r>
          </w:p>
        </w:tc>
      </w:tr>
    </w:tbl>
    <w:p w:rsidR="008C6FF9" w:rsidRDefault="008C6FF9" w:rsidP="008C6FF9">
      <w:pPr>
        <w:spacing w:after="200" w:line="276" w:lineRule="auto"/>
        <w:rPr>
          <w:rFonts w:ascii="Arial" w:hAnsi="Arial" w:cs="Arial"/>
        </w:rPr>
      </w:pPr>
      <w:bookmarkStart w:id="1" w:name="_GoBack"/>
      <w:bookmarkEnd w:id="1"/>
    </w:p>
    <w:p w:rsidR="00BE3025" w:rsidRDefault="00972A36"/>
    <w:sectPr w:rsidR="00BE3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9201F5"/>
    <w:multiLevelType w:val="hybridMultilevel"/>
    <w:tmpl w:val="78FE2BC0"/>
    <w:lvl w:ilvl="0" w:tplc="04090001">
      <w:start w:val="1"/>
      <w:numFmt w:val="bullet"/>
      <w:lvlText w:val=""/>
      <w:lvlJc w:val="left"/>
      <w:pPr>
        <w:ind w:left="1440" w:hanging="360"/>
      </w:pPr>
      <w:rPr>
        <w:rFonts w:ascii="Symbol" w:hAnsi="Symbol" w:hint="default"/>
      </w:rPr>
    </w:lvl>
    <w:lvl w:ilvl="1" w:tplc="5302D9EE" w:tentative="1">
      <w:start w:val="1"/>
      <w:numFmt w:val="lowerLetter"/>
      <w:lvlText w:val="%2."/>
      <w:lvlJc w:val="left"/>
      <w:pPr>
        <w:ind w:left="1440" w:hanging="360"/>
      </w:pPr>
    </w:lvl>
    <w:lvl w:ilvl="2" w:tplc="0F2C4C20" w:tentative="1">
      <w:start w:val="1"/>
      <w:numFmt w:val="lowerRoman"/>
      <w:lvlText w:val="%3."/>
      <w:lvlJc w:val="right"/>
      <w:pPr>
        <w:ind w:left="2160" w:hanging="180"/>
      </w:pPr>
    </w:lvl>
    <w:lvl w:ilvl="3" w:tplc="B6904636" w:tentative="1">
      <w:start w:val="1"/>
      <w:numFmt w:val="decimal"/>
      <w:lvlText w:val="%4."/>
      <w:lvlJc w:val="left"/>
      <w:pPr>
        <w:ind w:left="2880" w:hanging="360"/>
      </w:pPr>
    </w:lvl>
    <w:lvl w:ilvl="4" w:tplc="16E84600" w:tentative="1">
      <w:start w:val="1"/>
      <w:numFmt w:val="lowerLetter"/>
      <w:lvlText w:val="%5."/>
      <w:lvlJc w:val="left"/>
      <w:pPr>
        <w:ind w:left="3600" w:hanging="360"/>
      </w:pPr>
    </w:lvl>
    <w:lvl w:ilvl="5" w:tplc="C4A8132E" w:tentative="1">
      <w:start w:val="1"/>
      <w:numFmt w:val="lowerRoman"/>
      <w:lvlText w:val="%6."/>
      <w:lvlJc w:val="right"/>
      <w:pPr>
        <w:ind w:left="4320" w:hanging="180"/>
      </w:pPr>
    </w:lvl>
    <w:lvl w:ilvl="6" w:tplc="396C2E26" w:tentative="1">
      <w:start w:val="1"/>
      <w:numFmt w:val="decimal"/>
      <w:lvlText w:val="%7."/>
      <w:lvlJc w:val="left"/>
      <w:pPr>
        <w:ind w:left="5040" w:hanging="360"/>
      </w:pPr>
    </w:lvl>
    <w:lvl w:ilvl="7" w:tplc="BD2A669E" w:tentative="1">
      <w:start w:val="1"/>
      <w:numFmt w:val="lowerLetter"/>
      <w:lvlText w:val="%8."/>
      <w:lvlJc w:val="left"/>
      <w:pPr>
        <w:ind w:left="5760" w:hanging="360"/>
      </w:pPr>
    </w:lvl>
    <w:lvl w:ilvl="8" w:tplc="4BA440EC"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trackRevisions/>
  <w:documentProtection w:edit="trackedChanges" w:enforcement="1" w:cryptProviderType="rsaAES" w:cryptAlgorithmClass="hash" w:cryptAlgorithmType="typeAny" w:cryptAlgorithmSid="14" w:cryptSpinCount="100000" w:hash="XZwnMr6oJebxSnVDoIFr8oRoXNBQgiZbgIYVLbKDltKnxYhR6DxqnVra75S/YyWkGH5FUt/jEH8S2H4kq/GkKg==" w:salt="IBG8RyMskntt1AA/68ryI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FF9"/>
    <w:rsid w:val="00214FAD"/>
    <w:rsid w:val="00391F7D"/>
    <w:rsid w:val="00550A29"/>
    <w:rsid w:val="0069040C"/>
    <w:rsid w:val="008C6FF9"/>
    <w:rsid w:val="009708E2"/>
    <w:rsid w:val="00B111F5"/>
    <w:rsid w:val="00DD4197"/>
    <w:rsid w:val="00EC3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8D9F7"/>
  <w15:chartTrackingRefBased/>
  <w15:docId w15:val="{844A5748-50D3-42F8-AC35-BCBB2C198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C6FF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C6FF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8C6FF9"/>
    <w:pPr>
      <w:autoSpaceDE w:val="0"/>
      <w:autoSpaceDN w:val="0"/>
      <w:adjustRightInd w:val="0"/>
    </w:pPr>
    <w:rPr>
      <w:rFonts w:ascii="Arial" w:hAnsi="Arial" w:cs="Arial"/>
      <w:sz w:val="22"/>
    </w:rPr>
  </w:style>
  <w:style w:type="character" w:customStyle="1" w:styleId="BodyText2Char">
    <w:name w:val="Body Text 2 Char"/>
    <w:basedOn w:val="DefaultParagraphFont"/>
    <w:link w:val="BodyText2"/>
    <w:rsid w:val="008C6FF9"/>
    <w:rPr>
      <w:rFonts w:ascii="Arial" w:eastAsia="Times New Roman" w:hAnsi="Arial" w:cs="Arial"/>
      <w:szCs w:val="20"/>
    </w:rPr>
  </w:style>
  <w:style w:type="paragraph" w:styleId="ListParagraph">
    <w:name w:val="List Paragraph"/>
    <w:basedOn w:val="Normal"/>
    <w:uiPriority w:val="34"/>
    <w:qFormat/>
    <w:rsid w:val="008C6FF9"/>
    <w:pPr>
      <w:spacing w:after="200" w:line="276" w:lineRule="auto"/>
      <w:ind w:left="720"/>
      <w:contextualSpacing/>
    </w:pPr>
    <w:rPr>
      <w:rFonts w:ascii="Calibri" w:eastAsia="Calibri" w:hAnsi="Calibri"/>
      <w:sz w:val="24"/>
      <w:szCs w:val="24"/>
    </w:rPr>
  </w:style>
  <w:style w:type="paragraph" w:styleId="NormalWeb">
    <w:name w:val="Normal (Web)"/>
    <w:basedOn w:val="Normal"/>
    <w:uiPriority w:val="99"/>
    <w:unhideWhenUsed/>
    <w:rsid w:val="009708E2"/>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Irons</dc:creator>
  <cp:keywords/>
  <dc:description/>
  <cp:lastModifiedBy>James Irons</cp:lastModifiedBy>
  <cp:revision>6</cp:revision>
  <dcterms:created xsi:type="dcterms:W3CDTF">2016-10-13T15:26:00Z</dcterms:created>
  <dcterms:modified xsi:type="dcterms:W3CDTF">2016-10-13T15:29:00Z</dcterms:modified>
</cp:coreProperties>
</file>