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5B6"/>
          <w:sz w:val="24"/>
          <w:szCs w:val="24"/>
        </w:rPr>
        <w:t xml:space="preserve">TG Audit Orchestrator</w:t>
      </w:r>
    </w:p>
    <w:p>
      <w:pPr>
        <w:spacing w:after="60"/>
      </w:pPr>
      <w:r>
        <w:rPr>
          <w:b/>
          <w:bCs/>
          <w:color w:val="1F3864"/>
          <w:sz w:val="42"/>
          <w:szCs w:val="42"/>
        </w:rPr>
        <w:t xml:space="preserve">DPDP Engagement Guide</w:t>
      </w:r>
    </w:p>
    <w:p>
      <w:pPr>
        <w:spacing w:after="200"/>
      </w:pPr>
      <w:r>
        <w:rPr>
          <w:i/>
          <w:iCs/>
          <w:color w:val="595959"/>
          <w:sz w:val="22"/>
          <w:szCs w:val="22"/>
        </w:rPr>
        <w:t xml:space="preserve">Running a Digital Personal Data Protection readiness assessment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2E75B6" w:val="clear"/>
            <w:tcMar>
              <w:top w:type="dxa" w:w="55"/>
              <w:left w:type="dxa" w:w="100"/>
              <w:bottom w:type="dxa" w:w="55"/>
              <w:right w:type="dxa" w:w="100"/>
            </w:tcMar>
            <w:vAlign w:val="center"/>
          </w:tcPr>
          <w:p>
            <w:pPr>
              <w:jc w:val="left"/>
            </w:pPr>
            <w:r>
              <w:rPr>
                <w:b/>
                <w:bCs/>
                <w:color w:val="FFFFFF"/>
                <w:sz w:val="18"/>
                <w:szCs w:val="18"/>
              </w:rPr>
              <w:t xml:space="preserve">Field</w:t>
            </w:r>
          </w:p>
        </w:tc>
        <w:tc>
          <w:tcPr>
            <w:tcW w:type="dxa" w:w="7160"/>
            <w:tcBorders>
              <w:top w:val="single" w:color="BFBFBF" w:sz="1"/>
              <w:left w:val="single" w:color="BFBFBF" w:sz="1"/>
              <w:bottom w:val="single" w:color="BFBFBF" w:sz="1"/>
              <w:right w:val="single" w:color="BFBFBF" w:sz="1"/>
            </w:tcBorders>
            <w:shd w:fill="2E75B6" w:val="clear"/>
            <w:tcMar>
              <w:top w:type="dxa" w:w="55"/>
              <w:left w:type="dxa" w:w="100"/>
              <w:bottom w:type="dxa" w:w="55"/>
              <w:right w:type="dxa" w:w="100"/>
            </w:tcMar>
            <w:vAlign w:val="center"/>
          </w:tcPr>
          <w:p>
            <w:pPr>
              <w:jc w:val="left"/>
            </w:pPr>
            <w:r>
              <w:rPr>
                <w:b/>
                <w:bCs/>
                <w:color w:val="FFFFFF"/>
                <w:sz w:val="18"/>
                <w:szCs w:val="18"/>
              </w:rPr>
              <w:t xml:space="preserve">Value</w:t>
            </w:r>
          </w:p>
        </w:tc>
      </w:tr>
      <w:tr>
        <w:tc>
          <w:tcPr>
            <w:tcW w:type="dxa" w:w="22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Project</w:t>
            </w:r>
          </w:p>
        </w:tc>
        <w:tc>
          <w:tcPr>
            <w:tcW w:type="dxa" w:w="71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SRH-Coimbatore Healthcare</w:t>
            </w:r>
          </w:p>
        </w:tc>
      </w:tr>
      <w:tr>
        <w:tc>
          <w:tcPr>
            <w:tcW w:type="dxa" w:w="22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Project ID</w:t>
            </w:r>
          </w:p>
        </w:tc>
        <w:tc>
          <w:tcPr>
            <w:tcW w:type="dxa" w:w="71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rFonts w:ascii="Consolas" w:cs="Consolas" w:eastAsia="Consolas" w:hAnsi="Consolas"/>
                <w:b w:val="false"/>
                <w:bCs w:val="false"/>
                <w:color w:val="000000"/>
                <w:sz w:val="17"/>
                <w:szCs w:val="17"/>
              </w:rPr>
              <w:t xml:space="preserve">57418f4d-71a7-40cd-978d-67dba91dcca1</w:t>
            </w:r>
          </w:p>
        </w:tc>
      </w:tr>
      <w:tr>
        <w:tc>
          <w:tcPr>
            <w:tcW w:type="dxa" w:w="22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Pack</w:t>
            </w:r>
          </w:p>
        </w:tc>
        <w:tc>
          <w:tcPr>
            <w:tcW w:type="dxa" w:w="71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DPDP Readiness Pack v2 — Multi-Sector</w:t>
            </w:r>
          </w:p>
        </w:tc>
      </w:tr>
      <w:tr>
        <w:tc>
          <w:tcPr>
            <w:tcW w:type="dxa" w:w="22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Frameworks</w:t>
            </w:r>
          </w:p>
        </w:tc>
        <w:tc>
          <w:tcPr>
            <w:tcW w:type="dxa" w:w="71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DPDP Act 2023 · ISO 27701 · EU GDPR (cross-border)</w:t>
            </w:r>
          </w:p>
        </w:tc>
      </w:tr>
      <w:tr>
        <w:tc>
          <w:tcPr>
            <w:tcW w:type="dxa" w:w="22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Gates</w:t>
            </w:r>
          </w:p>
        </w:tc>
        <w:tc>
          <w:tcPr>
            <w:tcW w:type="dxa" w:w="71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G1 scope · G2 evidence list · G3 evidence · G4 findings · G5 QA · G6 release · G7 closure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6E56" w:sz="24"/>
              <w:bottom w:val="none"/>
              <w:right w:val="none"/>
            </w:tcBorders>
            <w:shd w:fill="E1F5EE" w:val="clear"/>
            <w:tcMar>
              <w:top w:type="dxa" w:w="90"/>
              <w:left w:type="dxa" w:w="160"/>
              <w:bottom w:type="dxa" w:w="90"/>
              <w:right w:type="dxa" w:w="140"/>
            </w:tcMar>
          </w:tcPr>
          <w:p>
            <w:pPr>
              <w:spacing w:after="30"/>
            </w:pPr>
            <w:r>
              <w:rPr>
                <w:b/>
                <w:bCs/>
                <w:color w:val="0F6E56"/>
                <w:sz w:val="20"/>
                <w:szCs w:val="20"/>
              </w:rPr>
              <w:t xml:space="preserve">DPDP is documentation-based.</w:t>
            </w:r>
          </w:p>
          <w:p>
            <w:r>
              <w:rPr>
                <w:sz w:val="20"/>
                <w:szCs w:val="20"/>
              </w:rPr>
              <w:t xml:space="preserve">Unlike VAPT there is no scanning. Evidence = policies, screenshots, logs, signed agreements, and SOPs — collected from the client, not generated by tools.</w:t>
            </w:r>
          </w:p>
        </w:tc>
      </w:tr>
    </w:tbl>
    <w:p>
      <w:pPr>
        <w:pBdr>
          <w:bottom w:val="single" w:color="2E75B6" w:sz="6" w:space="1"/>
        </w:pBdr>
        <w:spacing w:after="150" w:before="60"/>
      </w:pPr>
      <w:r>
        <w:t xml:space="preserve"/>
      </w:r>
    </w:p>
    <w:p>
      <w:pPr>
        <w:pStyle w:val="Heading1"/>
      </w:pPr>
      <w:r>
        <w:t xml:space="preserve">What DPDP is and when it applies</w:t>
      </w:r>
    </w:p>
    <w:p>
      <w:pPr>
        <w:spacing w:after="120" w:line="276"/>
      </w:pPr>
      <w:r>
        <w:t xml:space="preserve">The Digital Personal Data Protection Act 2023 (DPDP Act) is India's primary personal data law. It applies to any organisation (Data Fiduciary) that collects or processes personal data of Indian residents digitally — whether in India or overseas. Healthcare is a priority sector under Ministry of Electronics &amp; IT rules.</w:t>
      </w:r>
    </w:p>
    <w:p>
      <w:pPr>
        <w:spacing w:after="120" w:line="276"/>
      </w:pPr>
      <w:r>
        <w:rPr>
          <w:b/>
          <w:bCs/>
        </w:rPr>
        <w:t xml:space="preserve">Significant Data Fiduciaries (SDF) face extra obligations — DPIA, data localisation, and a designated DPO — if they:</w:t>
      </w:r>
    </w:p>
    <w:p>
      <w:pPr>
        <w:pStyle w:val="ListParagraph"/>
        <w:numPr>
          <w:ilvl w:val="0"/>
          <w:numId w:val="2"/>
        </w:numPr>
        <w:spacing w:after="50"/>
      </w:pPr>
      <w:r>
        <w:t xml:space="preserve">Process data of more than 1 crore data principals, or</w:t>
      </w:r>
    </w:p>
    <w:p>
      <w:pPr>
        <w:pStyle w:val="ListParagraph"/>
        <w:numPr>
          <w:ilvl w:val="0"/>
          <w:numId w:val="2"/>
        </w:numPr>
        <w:spacing w:after="50"/>
      </w:pPr>
      <w:r>
        <w:t xml:space="preserve">Process sensitive data at scale, or</w:t>
      </w:r>
    </w:p>
    <w:p>
      <w:pPr>
        <w:pStyle w:val="ListParagraph"/>
        <w:numPr>
          <w:ilvl w:val="0"/>
          <w:numId w:val="2"/>
        </w:numPr>
        <w:spacing w:after="50"/>
      </w:pPr>
      <w:r>
        <w:t xml:space="preserve">Are designated by the Central Government.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3864" w:sz="24"/>
              <w:bottom w:val="none"/>
              <w:right w:val="none"/>
            </w:tcBorders>
            <w:shd w:fill="EAF0F8" w:val="clear"/>
            <w:tcMar>
              <w:top w:type="dxa" w:w="90"/>
              <w:left w:type="dxa" w:w="160"/>
              <w:bottom w:type="dxa" w:w="90"/>
              <w:right w:type="dxa" w:w="140"/>
            </w:tcMar>
          </w:tcPr>
          <w:p>
            <w:pPr>
              <w:spacing w:after="30"/>
            </w:pPr>
            <w:r>
              <w:rPr>
                <w:b/>
                <w:bCs/>
                <w:color w:val="1F3864"/>
                <w:sz w:val="20"/>
                <w:szCs w:val="20"/>
              </w:rPr>
              <w:t xml:space="preserve">For SRH-Coimbatore</w:t>
            </w:r>
          </w:p>
          <w:p>
            <w:r>
              <w:rPr>
                <w:sz w:val="20"/>
                <w:szCs w:val="20"/>
              </w:rPr>
              <w:t xml:space="preserve">Healthcare sector; processes patient health + biometric data; likely &gt;1 crore patients across the hospital network → probable SDF.</w:t>
            </w:r>
          </w:p>
        </w:tc>
      </w:tr>
    </w:tbl>
    <w:p>
      <w:pPr>
        <w:pBdr>
          <w:bottom w:val="single" w:color="2E75B6" w:sz="6" w:space="1"/>
        </w:pBdr>
        <w:spacing w:after="150" w:before="60"/>
      </w:pPr>
      <w:r>
        <w:t xml:space="preserve"/>
      </w:r>
    </w:p>
    <w:p>
      <w:pPr>
        <w:pStyle w:val="Heading1"/>
      </w:pPr>
      <w:r>
        <w:t xml:space="preserve">Pre-engagement: intake (before project creation)</w:t>
      </w:r>
    </w:p>
    <w:p>
      <w:pPr>
        <w:spacing w:after="120" w:line="276"/>
      </w:pPr>
      <w:r>
        <w:t xml:space="preserve">Run the 8 intake questions as a structured call or form with the client. Record the answers in the project's intake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60"/>
        <w:gridCol w:w="4000"/>
      </w:tblGrid>
      <w:tr>
        <w:trPr>
          <w:tblHeader/>
        </w:trPr>
        <w:tc>
          <w:tcPr>
            <w:tcW w:type="dxa" w:w="700"/>
            <w:tcBorders>
              <w:top w:val="single" w:color="BFBFBF" w:sz="1"/>
              <w:left w:val="single" w:color="BFBFBF" w:sz="1"/>
              <w:bottom w:val="single" w:color="BFBFBF" w:sz="1"/>
              <w:right w:val="single" w:color="BFBFBF" w:sz="1"/>
            </w:tcBorders>
            <w:shd w:fill="2E75B6" w:val="clear"/>
            <w:tcMar>
              <w:top w:type="dxa" w:w="55"/>
              <w:left w:type="dxa" w:w="100"/>
              <w:bottom w:type="dxa" w:w="55"/>
              <w:right w:type="dxa" w:w="100"/>
            </w:tcMar>
            <w:vAlign w:val="center"/>
          </w:tcPr>
          <w:p>
            <w:pPr>
              <w:jc w:val="left"/>
            </w:pPr>
            <w:r>
              <w:rPr>
                <w:b/>
                <w:bCs/>
                <w:color w:val="FFFFFF"/>
                <w:sz w:val="18"/>
                <w:szCs w:val="18"/>
              </w:rPr>
              <w:t xml:space="preserve">Q#</w:t>
            </w:r>
          </w:p>
        </w:tc>
        <w:tc>
          <w:tcPr>
            <w:tcW w:type="dxa" w:w="4660"/>
            <w:tcBorders>
              <w:top w:val="single" w:color="BFBFBF" w:sz="1"/>
              <w:left w:val="single" w:color="BFBFBF" w:sz="1"/>
              <w:bottom w:val="single" w:color="BFBFBF" w:sz="1"/>
              <w:right w:val="single" w:color="BFBFBF" w:sz="1"/>
            </w:tcBorders>
            <w:shd w:fill="2E75B6" w:val="clear"/>
            <w:tcMar>
              <w:top w:type="dxa" w:w="55"/>
              <w:left w:type="dxa" w:w="100"/>
              <w:bottom w:type="dxa" w:w="55"/>
              <w:right w:type="dxa" w:w="100"/>
            </w:tcMar>
            <w:vAlign w:val="center"/>
          </w:tcPr>
          <w:p>
            <w:pPr>
              <w:jc w:val="left"/>
            </w:pPr>
            <w:r>
              <w:rPr>
                <w:b/>
                <w:bCs/>
                <w:color w:val="FFFFFF"/>
                <w:sz w:val="18"/>
                <w:szCs w:val="18"/>
              </w:rPr>
              <w:t xml:space="preserve">Question</w:t>
            </w:r>
          </w:p>
        </w:tc>
        <w:tc>
          <w:tcPr>
            <w:tcW w:type="dxa" w:w="4000"/>
            <w:tcBorders>
              <w:top w:val="single" w:color="BFBFBF" w:sz="1"/>
              <w:left w:val="single" w:color="BFBFBF" w:sz="1"/>
              <w:bottom w:val="single" w:color="BFBFBF" w:sz="1"/>
              <w:right w:val="single" w:color="BFBFBF" w:sz="1"/>
            </w:tcBorders>
            <w:shd w:fill="2E75B6" w:val="clear"/>
            <w:tcMar>
              <w:top w:type="dxa" w:w="55"/>
              <w:left w:type="dxa" w:w="100"/>
              <w:bottom w:type="dxa" w:w="55"/>
              <w:right w:type="dxa" w:w="100"/>
            </w:tcMar>
            <w:vAlign w:val="center"/>
          </w:tcPr>
          <w:p>
            <w:pPr>
              <w:jc w:val="left"/>
            </w:pPr>
            <w:r>
              <w:rPr>
                <w:b/>
                <w:bCs/>
                <w:color w:val="FFFFFF"/>
                <w:sz w:val="18"/>
                <w:szCs w:val="18"/>
              </w:rPr>
              <w:t xml:space="preserve">Why</w:t>
            </w:r>
          </w:p>
        </w:tc>
      </w:tr>
      <w:tr>
        <w:tc>
          <w:tcPr>
            <w:tcW w:type="dxa" w:w="7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center"/>
            </w:pPr>
            <w:r>
              <w:rPr>
                <w:b/>
                <w:bCs/>
                <w:color w:val="1F3864"/>
                <w:sz w:val="18"/>
                <w:szCs w:val="18"/>
              </w:rPr>
              <w:t xml:space="preserve">Q1</w:t>
            </w:r>
          </w:p>
        </w:tc>
        <w:tc>
          <w:tcPr>
            <w:tcW w:type="dxa" w:w="46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List all business units collecting personal data of Indian residents</w:t>
            </w:r>
          </w:p>
        </w:tc>
        <w:tc>
          <w:tcPr>
            <w:tcW w:type="dxa" w:w="40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Scopes the assessment; each BU may need separate controls</w:t>
            </w:r>
          </w:p>
        </w:tc>
      </w:tr>
      <w:tr>
        <w:tc>
          <w:tcPr>
            <w:tcW w:type="dxa" w:w="7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center"/>
            </w:pPr>
            <w:r>
              <w:rPr>
                <w:b/>
                <w:bCs/>
                <w:color w:val="1F3864"/>
                <w:sz w:val="18"/>
                <w:szCs w:val="18"/>
              </w:rPr>
              <w:t xml:space="preserve">Q2</w:t>
            </w:r>
          </w:p>
        </w:tc>
        <w:tc>
          <w:tcPr>
            <w:tcW w:type="dxa" w:w="46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Categories: name, contact, financial, health, biometric, children's, location, employment</w:t>
            </w:r>
          </w:p>
        </w:tc>
        <w:tc>
          <w:tcPr>
            <w:tcW w:type="dxa" w:w="40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Determines notice / consent / security requirements per category</w:t>
            </w:r>
          </w:p>
        </w:tc>
      </w:tr>
      <w:tr>
        <w:tc>
          <w:tcPr>
            <w:tcW w:type="dxa" w:w="7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center"/>
            </w:pPr>
            <w:r>
              <w:rPr>
                <w:b/>
                <w:bCs/>
                <w:color w:val="1F3864"/>
                <w:sz w:val="18"/>
                <w:szCs w:val="18"/>
              </w:rPr>
              <w:t xml:space="preserve">Q3</w:t>
            </w:r>
          </w:p>
        </w:tc>
        <w:tc>
          <w:tcPr>
            <w:tcW w:type="dxa" w:w="46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Cross-border transfers? Which countries, which processors?</w:t>
            </w:r>
          </w:p>
        </w:tc>
        <w:tc>
          <w:tcPr>
            <w:tcW w:type="dxa" w:w="40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Triggers DPDP-TRANSFER-01; healthcare often uses US-based cloud</w:t>
            </w:r>
          </w:p>
        </w:tc>
      </w:tr>
      <w:tr>
        <w:tc>
          <w:tcPr>
            <w:tcW w:type="dxa" w:w="7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center"/>
            </w:pPr>
            <w:r>
              <w:rPr>
                <w:b/>
                <w:bCs/>
                <w:color w:val="1F3864"/>
                <w:sz w:val="18"/>
                <w:szCs w:val="18"/>
              </w:rPr>
              <w:t xml:space="preserve">Q4</w:t>
            </w:r>
          </w:p>
        </w:tc>
        <w:tc>
          <w:tcPr>
            <w:tcW w:type="dxa" w:w="46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SDF threshold: &gt;1 crore principals, sensitive at scale, or govt-designated?</w:t>
            </w:r>
          </w:p>
        </w:tc>
        <w:tc>
          <w:tcPr>
            <w:tcW w:type="dxa" w:w="40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Triggers DPIA, DPO, and data localisation obligations</w:t>
            </w:r>
          </w:p>
        </w:tc>
      </w:tr>
      <w:tr>
        <w:tc>
          <w:tcPr>
            <w:tcW w:type="dxa" w:w="7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center"/>
            </w:pPr>
            <w:r>
              <w:rPr>
                <w:b/>
                <w:bCs/>
                <w:color w:val="1F3864"/>
                <w:sz w:val="18"/>
                <w:szCs w:val="18"/>
              </w:rPr>
              <w:t xml:space="preserve">Q5</w:t>
            </w:r>
          </w:p>
        </w:tc>
        <w:tc>
          <w:tcPr>
            <w:tcW w:type="dxa" w:w="46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Lawful basis per processing activity: consent or legitimate use?</w:t>
            </w:r>
          </w:p>
        </w:tc>
        <w:tc>
          <w:tcPr>
            <w:tcW w:type="dxa" w:w="40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Maps to consent requirements vs legitimate-use exemptions</w:t>
            </w:r>
          </w:p>
        </w:tc>
      </w:tr>
      <w:tr>
        <w:tc>
          <w:tcPr>
            <w:tcW w:type="dxa" w:w="7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center"/>
            </w:pPr>
            <w:r>
              <w:rPr>
                <w:b/>
                <w:bCs/>
                <w:color w:val="1F3864"/>
                <w:sz w:val="18"/>
                <w:szCs w:val="18"/>
              </w:rPr>
              <w:t xml:space="preserve">Q6</w:t>
            </w:r>
          </w:p>
        </w:tc>
        <w:tc>
          <w:tcPr>
            <w:tcW w:type="dxa" w:w="46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Sector: Healthcare, Manufacturing, Financial, EdTech, E-Commerce, etc.</w:t>
            </w:r>
          </w:p>
        </w:tc>
        <w:tc>
          <w:tcPr>
            <w:tcW w:type="dxa" w:w="40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Activates sector overlays and retention laws (PCPNDT, MCI rules)</w:t>
            </w:r>
          </w:p>
        </w:tc>
      </w:tr>
      <w:tr>
        <w:tc>
          <w:tcPr>
            <w:tcW w:type="dxa" w:w="7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center"/>
            </w:pPr>
            <w:r>
              <w:rPr>
                <w:b/>
                <w:bCs/>
                <w:color w:val="1F3864"/>
                <w:sz w:val="18"/>
                <w:szCs w:val="18"/>
              </w:rPr>
              <w:t xml:space="preserve">Q7</w:t>
            </w:r>
          </w:p>
        </w:tc>
        <w:tc>
          <w:tcPr>
            <w:tcW w:type="dxa" w:w="46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Children's data (under 18)? Age verification and parental consent mechanism?</w:t>
            </w:r>
          </w:p>
        </w:tc>
        <w:tc>
          <w:tcPr>
            <w:tcW w:type="dxa" w:w="40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Triggers DPDP-CHILDREN-01</w:t>
            </w:r>
          </w:p>
        </w:tc>
      </w:tr>
      <w:tr>
        <w:tc>
          <w:tcPr>
            <w:tcW w:type="dxa" w:w="7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center"/>
            </w:pPr>
            <w:r>
              <w:rPr>
                <w:b/>
                <w:bCs/>
                <w:color w:val="1F3864"/>
                <w:sz w:val="18"/>
                <w:szCs w:val="18"/>
              </w:rPr>
              <w:t xml:space="preserve">Q8</w:t>
            </w:r>
          </w:p>
        </w:tc>
        <w:tc>
          <w:tcPr>
            <w:tcW w:type="dxa" w:w="46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Approximate number of data principals</w:t>
            </w:r>
          </w:p>
        </w:tc>
        <w:tc>
          <w:tcPr>
            <w:tcW w:type="dxa" w:w="40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SDF threshold assessment</w:t>
            </w:r>
          </w:p>
        </w:tc>
      </w:tr>
    </w:tbl>
    <w:p>
      <w:pPr>
        <w:pBdr>
          <w:bottom w:val="single" w:color="2E75B6" w:sz="6" w:space="1"/>
        </w:pBdr>
        <w:spacing w:after="150" w:before="60"/>
      </w:pPr>
      <w:r>
        <w:t xml:space="preserve"/>
      </w:r>
    </w:p>
    <w:p>
      <w:pPr>
        <w:pStyle w:val="Heading1"/>
      </w:pPr>
      <w:r>
        <w:t xml:space="preserve">Stage 1 — Project setup and pack attachment</w:t>
      </w:r>
    </w:p>
    <w:p>
      <w:pPr>
        <w:pStyle w:val="Heading2"/>
      </w:pPr>
      <w:r>
        <w:t xml:space="preserve">Step 1 — Navigate to the project</w:t>
      </w:r>
    </w:p>
    <w:p>
      <w:pPr>
        <w:spacing w:after="100"/>
      </w:pPr>
      <w:r>
        <w:rPr>
          <w:rFonts w:ascii="Consolas" w:cs="Consolas" w:eastAsia="Consolas" w:hAnsi="Consolas"/>
          <w:color w:val="2E75B6"/>
          <w:sz w:val="17"/>
          <w:szCs w:val="17"/>
        </w:rPr>
        <w:t xml:space="preserve">http://localhost:8000/ui/projects/57418f4d-71a7-40cd-978d-67dba91dcca1</w:t>
      </w:r>
    </w:p>
    <w:p>
      <w:pPr>
        <w:pStyle w:val="Heading2"/>
      </w:pPr>
      <w:r>
        <w:t xml:space="preserve">Step 2 — Open the Pack tab → Attach Pack</w:t>
      </w:r>
    </w:p>
    <w:p>
      <w:pPr>
        <w:pStyle w:val="ListParagraph"/>
        <w:numPr>
          <w:ilvl w:val="0"/>
          <w:numId w:val="2"/>
        </w:numPr>
        <w:spacing w:after="50"/>
      </w:pPr>
      <w:r>
        <w:t xml:space="preserve">Go to /ui/projects/{id}/pack</w:t>
      </w:r>
    </w:p>
    <w:p>
      <w:pPr>
        <w:pStyle w:val="ListParagraph"/>
        <w:numPr>
          <w:ilvl w:val="0"/>
          <w:numId w:val="2"/>
        </w:numPr>
        <w:spacing w:after="50"/>
      </w:pPr>
      <w:r>
        <w:t xml:space="preserve">Under “Available Packs,” select DPDP Readiness Pack v2 — Multi-Sector</w:t>
      </w:r>
    </w:p>
    <w:p>
      <w:pPr>
        <w:pStyle w:val="ListParagraph"/>
        <w:numPr>
          <w:ilvl w:val="0"/>
          <w:numId w:val="2"/>
        </w:numPr>
        <w:spacing w:after="50"/>
      </w:pPr>
      <w:r>
        <w:t xml:space="preserve">Click Attach Pack</w:t>
      </w:r>
    </w:p>
    <w:p>
      <w:pPr>
        <w:pStyle w:val="Heading2"/>
      </w:pPr>
      <w:r>
        <w:t xml:space="preserve">Step 3 — Generate the plan</w:t>
      </w:r>
    </w:p>
    <w:p>
      <w:pPr>
        <w:spacing w:after="120" w:line="276"/>
      </w:pPr>
      <w:r>
        <w:t xml:space="preserve">Click Generate Plan. This creates 18 requirement rows (one per DPDP-* code) plus evidence requests.</w:t>
      </w:r>
    </w:p>
    <w:p>
      <w:pPr>
        <w:pStyle w:val="Heading2"/>
      </w:pPr>
      <w:r>
        <w:t xml:space="preserve">Step 4 — Fill intake answers in the Pack tab</w:t>
      </w:r>
    </w:p>
    <w:p>
      <w:pPr>
        <w:pStyle w:val="ListParagraph"/>
        <w:numPr>
          <w:ilvl w:val="0"/>
          <w:numId w:val="2"/>
        </w:numPr>
        <w:spacing w:after="50"/>
      </w:pPr>
      <w:r>
        <w:t xml:space="preserve">Paste the answers from your client call into the intake section</w:t>
      </w:r>
    </w:p>
    <w:p>
      <w:pPr>
        <w:pStyle w:val="ListParagraph"/>
        <w:numPr>
          <w:ilvl w:val="0"/>
          <w:numId w:val="2"/>
        </w:numPr>
        <w:spacing w:after="50"/>
      </w:pPr>
      <w:r>
        <w:t xml:space="preserve">Record Q1–Q8 answers; the pack stores them as project metadata</w:t>
      </w:r>
    </w:p>
    <w:p>
      <w:pPr>
        <w:pBdr>
          <w:bottom w:val="single" w:color="2E75B6" w:sz="6" w:space="1"/>
        </w:pBdr>
        <w:spacing w:after="150" w:before="60"/>
      </w:pPr>
      <w:r>
        <w:t xml:space="preserve"/>
      </w:r>
    </w:p>
    <w:p>
      <w:pPr>
        <w:pStyle w:val="Heading1"/>
      </w:pPr>
      <w:r>
        <w:t xml:space="preserve">Stage 2 — Scope builder</w:t>
      </w:r>
    </w:p>
    <w:p>
      <w:pPr>
        <w:pStyle w:val="Heading2"/>
      </w:pPr>
      <w:r>
        <w:t xml:space="preserve">Step 5 — Open scope</w:t>
      </w:r>
    </w:p>
    <w:p>
      <w:pPr>
        <w:spacing w:after="100"/>
      </w:pPr>
      <w:r>
        <w:rPr>
          <w:rFonts w:ascii="Consolas" w:cs="Consolas" w:eastAsia="Consolas" w:hAnsi="Consolas"/>
          <w:color w:val="2E75B6"/>
          <w:sz w:val="17"/>
          <w:szCs w:val="17"/>
        </w:rPr>
        <w:t xml:space="preserve">http://localhost:8000/ui/projects/57418f4d-71a7-40cd-978d-67dba91dcca1/scope</w:t>
      </w:r>
    </w:p>
    <w:p>
      <w:pPr>
        <w:spacing w:after="120" w:line="276"/>
      </w:pPr>
      <w:r>
        <w:t xml:space="preserve">Add scope items (Scope Items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1"/>
              <w:left w:val="single" w:color="BFBFBF" w:sz="1"/>
              <w:bottom w:val="single" w:color="BFBFBF" w:sz="1"/>
              <w:right w:val="single" w:color="BFBFBF" w:sz="1"/>
            </w:tcBorders>
            <w:shd w:fill="2E75B6" w:val="clear"/>
            <w:tcMar>
              <w:top w:type="dxa" w:w="55"/>
              <w:left w:type="dxa" w:w="100"/>
              <w:bottom w:type="dxa" w:w="55"/>
              <w:right w:type="dxa" w:w="100"/>
            </w:tcMar>
            <w:vAlign w:val="center"/>
          </w:tcPr>
          <w:p>
            <w:pPr>
              <w:jc w:val="left"/>
            </w:pPr>
            <w:r>
              <w:rPr>
                <w:b/>
                <w:bCs/>
                <w:color w:val="FFFFFF"/>
                <w:sz w:val="18"/>
                <w:szCs w:val="18"/>
              </w:rPr>
              <w:t xml:space="preserve">Kind</w:t>
            </w:r>
          </w:p>
        </w:tc>
        <w:tc>
          <w:tcPr>
            <w:tcW w:type="dxa" w:w="7060"/>
            <w:tcBorders>
              <w:top w:val="single" w:color="BFBFBF" w:sz="1"/>
              <w:left w:val="single" w:color="BFBFBF" w:sz="1"/>
              <w:bottom w:val="single" w:color="BFBFBF" w:sz="1"/>
              <w:right w:val="single" w:color="BFBFBF" w:sz="1"/>
            </w:tcBorders>
            <w:shd w:fill="2E75B6" w:val="clear"/>
            <w:tcMar>
              <w:top w:type="dxa" w:w="55"/>
              <w:left w:type="dxa" w:w="100"/>
              <w:bottom w:type="dxa" w:w="55"/>
              <w:right w:type="dxa" w:w="100"/>
            </w:tcMar>
            <w:vAlign w:val="center"/>
          </w:tcPr>
          <w:p>
            <w:pPr>
              <w:jc w:val="left"/>
            </w:pPr>
            <w:r>
              <w:rPr>
                <w:b/>
                <w:bCs/>
                <w:color w:val="FFFFFF"/>
                <w:sz w:val="18"/>
                <w:szCs w:val="18"/>
              </w:rPr>
              <w:t xml:space="preserve">Value</w:t>
            </w:r>
          </w:p>
        </w:tc>
      </w:tr>
      <w:tr>
        <w:tc>
          <w:tcPr>
            <w:tcW w:type="dxa" w:w="23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8"/>
                <w:szCs w:val="18"/>
              </w:rPr>
              <w:t xml:space="preserve">business_unit</w:t>
            </w:r>
          </w:p>
        </w:tc>
        <w:tc>
          <w:tcPr>
            <w:tcW w:type="dxa" w:w="70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Outpatient Department (OPD)</w:t>
            </w:r>
          </w:p>
        </w:tc>
      </w:tr>
      <w:tr>
        <w:tc>
          <w:tcPr>
            <w:tcW w:type="dxa" w:w="23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8"/>
                <w:szCs w:val="18"/>
              </w:rPr>
              <w:t xml:space="preserve">business_unit</w:t>
            </w:r>
          </w:p>
        </w:tc>
        <w:tc>
          <w:tcPr>
            <w:tcW w:type="dxa" w:w="70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Inpatient / Ward Management</w:t>
            </w:r>
          </w:p>
        </w:tc>
      </w:tr>
      <w:tr>
        <w:tc>
          <w:tcPr>
            <w:tcW w:type="dxa" w:w="23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8"/>
                <w:szCs w:val="18"/>
              </w:rPr>
              <w:t xml:space="preserve">business_unit</w:t>
            </w:r>
          </w:p>
        </w:tc>
        <w:tc>
          <w:tcPr>
            <w:tcW w:type="dxa" w:w="70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Lab &amp; Diagnostics</w:t>
            </w:r>
          </w:p>
        </w:tc>
      </w:tr>
      <w:tr>
        <w:tc>
          <w:tcPr>
            <w:tcW w:type="dxa" w:w="23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8"/>
                <w:szCs w:val="18"/>
              </w:rPr>
              <w:t xml:space="preserve">business_unit</w:t>
            </w:r>
          </w:p>
        </w:tc>
        <w:tc>
          <w:tcPr>
            <w:tcW w:type="dxa" w:w="70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HR &amp; Payroll</w:t>
            </w:r>
          </w:p>
        </w:tc>
      </w:tr>
      <w:tr>
        <w:tc>
          <w:tcPr>
            <w:tcW w:type="dxa" w:w="23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8"/>
                <w:szCs w:val="18"/>
              </w:rPr>
              <w:t xml:space="preserve">business_unit</w:t>
            </w:r>
          </w:p>
        </w:tc>
        <w:tc>
          <w:tcPr>
            <w:tcW w:type="dxa" w:w="70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Telemedicine App</w:t>
            </w:r>
          </w:p>
        </w:tc>
      </w:tr>
      <w:tr>
        <w:tc>
          <w:tcPr>
            <w:tcW w:type="dxa" w:w="23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8"/>
                <w:szCs w:val="18"/>
              </w:rPr>
              <w:t xml:space="preserve">asset</w:t>
            </w:r>
          </w:p>
        </w:tc>
        <w:tc>
          <w:tcPr>
            <w:tcW w:type="dxa" w:w="70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Hospital Management System (HMS)</w:t>
            </w:r>
          </w:p>
        </w:tc>
      </w:tr>
      <w:tr>
        <w:tc>
          <w:tcPr>
            <w:tcW w:type="dxa" w:w="23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8"/>
                <w:szCs w:val="18"/>
              </w:rPr>
              <w:t xml:space="preserve">asset</w:t>
            </w:r>
          </w:p>
        </w:tc>
        <w:tc>
          <w:tcPr>
            <w:tcW w:type="dxa" w:w="70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Patient portal (web + mobile)</w:t>
            </w:r>
          </w:p>
        </w:tc>
      </w:tr>
      <w:tr>
        <w:tc>
          <w:tcPr>
            <w:tcW w:type="dxa" w:w="23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8"/>
                <w:szCs w:val="18"/>
              </w:rPr>
              <w:t xml:space="preserve">asset</w:t>
            </w:r>
          </w:p>
        </w:tc>
        <w:tc>
          <w:tcPr>
            <w:tcW w:type="dxa" w:w="70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Lab Information System (LIS)</w:t>
            </w:r>
          </w:p>
        </w:tc>
      </w:tr>
      <w:tr>
        <w:tc>
          <w:tcPr>
            <w:tcW w:type="dxa" w:w="23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8"/>
                <w:szCs w:val="18"/>
              </w:rPr>
              <w:t xml:space="preserve">asset</w:t>
            </w:r>
          </w:p>
        </w:tc>
        <w:tc>
          <w:tcPr>
            <w:tcW w:type="dxa" w:w="70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AWS S3 — patient records bucket</w:t>
            </w:r>
          </w:p>
        </w:tc>
      </w:tr>
      <w:tr>
        <w:tc>
          <w:tcPr>
            <w:tcW w:type="dxa" w:w="23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8"/>
                <w:szCs w:val="18"/>
              </w:rPr>
              <w:t xml:space="preserve">processor</w:t>
            </w:r>
          </w:p>
        </w:tc>
        <w:tc>
          <w:tcPr>
            <w:tcW w:type="dxa" w:w="70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AWS (cloud hosting, Singapore region)</w:t>
            </w:r>
          </w:p>
        </w:tc>
      </w:tr>
      <w:tr>
        <w:tc>
          <w:tcPr>
            <w:tcW w:type="dxa" w:w="23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8"/>
                <w:szCs w:val="18"/>
              </w:rPr>
              <w:t xml:space="preserve">processor</w:t>
            </w:r>
          </w:p>
        </w:tc>
        <w:tc>
          <w:tcPr>
            <w:tcW w:type="dxa" w:w="70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WhatsApp Business API (appointment reminders)</w:t>
            </w:r>
          </w:p>
        </w:tc>
      </w:tr>
      <w:tr>
        <w:tc>
          <w:tcPr>
            <w:tcW w:type="dxa" w:w="23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8"/>
                <w:szCs w:val="18"/>
              </w:rPr>
              <w:t xml:space="preserve">processor</w:t>
            </w:r>
          </w:p>
        </w:tc>
        <w:tc>
          <w:tcPr>
            <w:tcW w:type="dxa" w:w="70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Razorpay (billing)</w:t>
            </w:r>
          </w:p>
        </w:tc>
      </w:tr>
      <w:tr>
        <w:tc>
          <w:tcPr>
            <w:tcW w:type="dxa" w:w="23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8"/>
                <w:szCs w:val="18"/>
              </w:rPr>
              <w:t xml:space="preserve">data_transfer</w:t>
            </w:r>
          </w:p>
        </w:tc>
        <w:tc>
          <w:tcPr>
            <w:tcW w:type="dxa" w:w="70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Patient records → AWS Singapore</w:t>
            </w:r>
          </w:p>
        </w:tc>
      </w:tr>
      <w:tr>
        <w:tc>
          <w:tcPr>
            <w:tcW w:type="dxa" w:w="23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8"/>
                <w:szCs w:val="18"/>
              </w:rPr>
              <w:t xml:space="preserve">data_transfer</w:t>
            </w:r>
          </w:p>
        </w:tc>
        <w:tc>
          <w:tcPr>
            <w:tcW w:type="dxa" w:w="70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Appointment data → Meta (WhatsApp)</w:t>
            </w:r>
          </w:p>
        </w:tc>
      </w:tr>
    </w:tbl>
    <w:p>
      <w:pPr>
        <w:spacing w:after="120" w:line="276"/>
      </w:pPr>
      <w:r>
        <w:t xml:space="preserve">Each item enters pending → a PM approves it before </w:t>
      </w:r>
      <w:r>
        <w:rPr>
          <w:b/>
          <w:bCs/>
          <w:color w:val="1F3864"/>
        </w:rPr>
        <w:t xml:space="preserve">G1</w:t>
      </w:r>
      <w:r>
        <w:t xml:space="preserve"> can close.</w:t>
      </w:r>
    </w:p>
    <w:p>
      <w:pPr>
        <w:pStyle w:val="Heading2"/>
      </w:pPr>
      <w:r>
        <w:t xml:space="preserve">Step 6 — Rules of engagement (RoE tab)</w:t>
      </w:r>
    </w:p>
    <w:p>
      <w:pPr>
        <w:pStyle w:val="ListParagraph"/>
        <w:numPr>
          <w:ilvl w:val="0"/>
          <w:numId w:val="2"/>
        </w:numPr>
        <w:spacing w:after="50"/>
      </w:pPr>
      <w:r>
        <w:t xml:space="preserve">Authorization text: paste the letter of engagement from SRH CIO/DPO</w:t>
      </w:r>
    </w:p>
    <w:p>
      <w:pPr>
        <w:pStyle w:val="ListParagraph"/>
        <w:numPr>
          <w:ilvl w:val="0"/>
          <w:numId w:val="2"/>
        </w:numPr>
        <w:spacing w:after="50"/>
      </w:pPr>
      <w:r>
        <w:t xml:space="preserve">Testing windows: Mon–Fri 09:00–18:00 IST (document review; no system testing windows needed for DPDP)</w:t>
      </w:r>
    </w:p>
    <w:p>
      <w:pPr>
        <w:pStyle w:val="ListParagraph"/>
        <w:numPr>
          <w:ilvl w:val="0"/>
          <w:numId w:val="2"/>
        </w:numPr>
        <w:spacing w:after="50"/>
      </w:pPr>
      <w:r>
        <w:t xml:space="preserve">Escalation contact: name / role / phone of the SRH Data Protection Officer</w:t>
      </w:r>
    </w:p>
    <w:p>
      <w:pPr>
        <w:pStyle w:val="ListParagraph"/>
        <w:numPr>
          <w:ilvl w:val="0"/>
          <w:numId w:val="2"/>
        </w:numPr>
        <w:spacing w:after="50"/>
      </w:pPr>
      <w:r>
        <w:t xml:space="preserve">Data sensitivity: Confidential; personal data = Yes; “all evidence containing patient data must be stored encrypted; redact patient IDs before attaching screenshots”</w:t>
      </w:r>
    </w:p>
    <w:p>
      <w:pPr>
        <w:pBdr>
          <w:bottom w:val="single" w:color="2E75B6" w:sz="6" w:space="1"/>
        </w:pBdr>
        <w:spacing w:after="150" w:before="60"/>
      </w:pPr>
      <w:r>
        <w:t xml:space="preserve"/>
      </w:r>
    </w:p>
    <w:p>
      <w:pPr>
        <w:pStyle w:val="Heading1"/>
      </w:pPr>
      <w:r>
        <w:t xml:space="preserve">Stage 3 — G1 gate: scope approval</w:t>
      </w:r>
    </w:p>
    <w:p>
      <w:pPr>
        <w:pStyle w:val="Heading2"/>
      </w:pPr>
      <w:r>
        <w:t xml:space="preserve">Step 7 — Request G1 approval</w:t>
      </w:r>
    </w:p>
    <w:p>
      <w:pPr>
        <w:pStyle w:val="ListParagraph"/>
        <w:numPr>
          <w:ilvl w:val="0"/>
          <w:numId w:val="2"/>
        </w:numPr>
        <w:spacing w:after="50"/>
      </w:pPr>
      <w:r>
        <w:t xml:space="preserve">On the Pack page, under Review Gates, find G1 — scope, data inventory, and sector classification</w:t>
      </w:r>
    </w:p>
    <w:p>
      <w:pPr>
        <w:pStyle w:val="ListParagraph"/>
        <w:numPr>
          <w:ilvl w:val="0"/>
          <w:numId w:val="2"/>
        </w:numPr>
        <w:spacing w:after="50"/>
      </w:pPr>
      <w:r>
        <w:t xml:space="preserve">PM submits “Scope ready for G1 review” via the approvals queue</w:t>
      </w:r>
    </w:p>
    <w:p>
      <w:pPr>
        <w:pStyle w:val="ListParagraph"/>
        <w:numPr>
          <w:ilvl w:val="0"/>
          <w:numId w:val="2"/>
        </w:numPr>
        <w:spacing w:after="50"/>
      </w:pPr>
      <w:r>
        <w:t xml:space="preserve">Partner reviews: all BUs listed, sector = healthcare confirmed, SDF threshold assessed, RoE signed</w:t>
      </w:r>
    </w:p>
    <w:p>
      <w:pPr>
        <w:shd w:fill="EAF0F8" w:val="clear"/>
        <w:spacing w:after="60" w:before="60"/>
      </w:pPr>
      <w:r>
        <w:rPr>
          <w:b/>
          <w:bCs/>
          <w:color w:val="1F3864"/>
          <w:sz w:val="21"/>
          <w:szCs w:val="21"/>
        </w:rPr>
        <w:t xml:space="preserve">  G1 — Scope, data inventory, and sector classification</w:t>
      </w:r>
    </w:p>
    <w:p>
      <w:pPr>
        <w:spacing w:after="120" w:line="276"/>
      </w:pPr>
      <w:r>
        <w:rPr>
          <w:i/>
          <w:iCs/>
          <w:color w:val="595959"/>
        </w:rPr>
        <w:t xml:space="preserve">Required approver: </w:t>
      </w:r>
      <w:r>
        <w:rPr>
          <w:b/>
          <w:bCs/>
          <w:color w:val="1F3864"/>
        </w:rPr>
        <w:t xml:space="preserve">partner</w:t>
      </w:r>
    </w:p>
    <w:p>
      <w:pPr>
        <w:spacing w:after="40"/>
        <w:ind w:left="360"/>
      </w:pPr>
      <w:r>
        <w:rPr>
          <w:color w:val="2E75B6"/>
        </w:rPr>
        <w:t xml:space="preserve">☐  </w:t>
      </w:r>
      <w:r>
        <w:t xml:space="preserve">All scope items are approved</w:t>
      </w:r>
    </w:p>
    <w:p>
      <w:pPr>
        <w:spacing w:after="40"/>
        <w:ind w:left="360"/>
      </w:pPr>
      <w:r>
        <w:rPr>
          <w:color w:val="2E75B6"/>
        </w:rPr>
        <w:t xml:space="preserve">☐  </w:t>
      </w:r>
      <w:r>
        <w:t xml:space="preserve">Sector confirmed = Healthcare</w:t>
      </w:r>
    </w:p>
    <w:p>
      <w:pPr>
        <w:spacing w:after="40"/>
        <w:ind w:left="360"/>
      </w:pPr>
      <w:r>
        <w:rPr>
          <w:color w:val="2E75B6"/>
        </w:rPr>
        <w:t xml:space="preserve">☐  </w:t>
      </w:r>
      <w:r>
        <w:t xml:space="preserve">SDF status assessed (if SDF: note DPIA and DPO obligations)</w:t>
      </w:r>
    </w:p>
    <w:p>
      <w:pPr>
        <w:spacing w:after="40"/>
        <w:ind w:left="360"/>
      </w:pPr>
      <w:r>
        <w:rPr>
          <w:color w:val="2E75B6"/>
        </w:rPr>
        <w:t xml:space="preserve">☐  </w:t>
      </w:r>
      <w:r>
        <w:t xml:space="preserve">Cross-border transfer inventory complete</w:t>
      </w:r>
    </w:p>
    <w:p>
      <w:pPr>
        <w:pBdr>
          <w:bottom w:val="single" w:color="2E75B6" w:sz="6" w:space="1"/>
        </w:pBdr>
        <w:spacing w:after="150" w:before="60"/>
      </w:pPr>
      <w:r>
        <w:t xml:space="preserve"/>
      </w:r>
    </w:p>
    <w:p>
      <w:pPr>
        <w:pStyle w:val="Heading1"/>
      </w:pPr>
      <w:r>
        <w:t xml:space="preserve">Stage 4 — Evidence requests</w:t>
      </w:r>
    </w:p>
    <w:p>
      <w:pPr>
        <w:spacing w:after="120" w:line="276"/>
      </w:pPr>
      <w:r>
        <w:t xml:space="preserve">After G1, issue evidence requests — one per requirement category. The system auto-generates these from the pack.</w:t>
      </w:r>
    </w:p>
    <w:p>
      <w:pPr>
        <w:pStyle w:val="Heading2"/>
      </w:pPr>
      <w:r>
        <w:t xml:space="preserve">Step 8 — Review evidence requests</w:t>
      </w:r>
    </w:p>
    <w:p>
      <w:pPr>
        <w:spacing w:after="100"/>
      </w:pPr>
      <w:r>
        <w:rPr>
          <w:rFonts w:ascii="Consolas" w:cs="Consolas" w:eastAsia="Consolas" w:hAnsi="Consolas"/>
          <w:color w:val="2E75B6"/>
          <w:sz w:val="17"/>
          <w:szCs w:val="17"/>
        </w:rPr>
        <w:t xml:space="preserve">http://localhost:8000/ui/projects/57418f4d-71a7-40cd-978d-67dba91dcca1/evidence</w:t>
      </w:r>
    </w:p>
    <w:p>
      <w:pPr>
        <w:spacing w:after="120" w:line="276"/>
      </w:pPr>
      <w:r>
        <w:t xml:space="preserve">Each DPDP-* code maps to an evidence request with a specific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650"/>
        <w:gridCol w:w="5760"/>
      </w:tblGrid>
      <w:tr>
        <w:trPr>
          <w:tblHeader/>
        </w:trPr>
        <w:tc>
          <w:tcPr>
            <w:tcW w:type="dxa" w:w="1950"/>
            <w:tcBorders>
              <w:top w:val="single" w:color="BFBFBF" w:sz="1"/>
              <w:left w:val="single" w:color="BFBFBF" w:sz="1"/>
              <w:bottom w:val="single" w:color="BFBFBF" w:sz="1"/>
              <w:right w:val="single" w:color="BFBFBF" w:sz="1"/>
            </w:tcBorders>
            <w:shd w:fill="2E75B6" w:val="clear"/>
            <w:tcMar>
              <w:top w:type="dxa" w:w="55"/>
              <w:left w:type="dxa" w:w="100"/>
              <w:bottom w:type="dxa" w:w="55"/>
              <w:right w:type="dxa" w:w="100"/>
            </w:tcMar>
            <w:vAlign w:val="center"/>
          </w:tcPr>
          <w:p>
            <w:pPr>
              <w:jc w:val="left"/>
            </w:pPr>
            <w:r>
              <w:rPr>
                <w:b/>
                <w:bCs/>
                <w:color w:val="FFFFFF"/>
                <w:sz w:val="18"/>
                <w:szCs w:val="18"/>
              </w:rPr>
              <w:t xml:space="preserve">Req code</w:t>
            </w:r>
          </w:p>
        </w:tc>
        <w:tc>
          <w:tcPr>
            <w:tcW w:type="dxa" w:w="1650"/>
            <w:tcBorders>
              <w:top w:val="single" w:color="BFBFBF" w:sz="1"/>
              <w:left w:val="single" w:color="BFBFBF" w:sz="1"/>
              <w:bottom w:val="single" w:color="BFBFBF" w:sz="1"/>
              <w:right w:val="single" w:color="BFBFBF" w:sz="1"/>
            </w:tcBorders>
            <w:shd w:fill="2E75B6" w:val="clear"/>
            <w:tcMar>
              <w:top w:type="dxa" w:w="55"/>
              <w:left w:type="dxa" w:w="100"/>
              <w:bottom w:type="dxa" w:w="55"/>
              <w:right w:type="dxa" w:w="100"/>
            </w:tcMar>
            <w:vAlign w:val="center"/>
          </w:tcPr>
          <w:p>
            <w:pPr>
              <w:jc w:val="left"/>
            </w:pPr>
            <w:r>
              <w:rPr>
                <w:b/>
                <w:bCs/>
                <w:color w:val="FFFFFF"/>
                <w:sz w:val="18"/>
                <w:szCs w:val="18"/>
              </w:rPr>
              <w:t xml:space="preserve">Category</w:t>
            </w:r>
          </w:p>
        </w:tc>
        <w:tc>
          <w:tcPr>
            <w:tcW w:type="dxa" w:w="5760"/>
            <w:tcBorders>
              <w:top w:val="single" w:color="BFBFBF" w:sz="1"/>
              <w:left w:val="single" w:color="BFBFBF" w:sz="1"/>
              <w:bottom w:val="single" w:color="BFBFBF" w:sz="1"/>
              <w:right w:val="single" w:color="BFBFBF" w:sz="1"/>
            </w:tcBorders>
            <w:shd w:fill="2E75B6" w:val="clear"/>
            <w:tcMar>
              <w:top w:type="dxa" w:w="55"/>
              <w:left w:type="dxa" w:w="100"/>
              <w:bottom w:type="dxa" w:w="55"/>
              <w:right w:type="dxa" w:w="100"/>
            </w:tcMar>
            <w:vAlign w:val="center"/>
          </w:tcPr>
          <w:p>
            <w:pPr>
              <w:jc w:val="left"/>
            </w:pPr>
            <w:r>
              <w:rPr>
                <w:b/>
                <w:bCs/>
                <w:color w:val="FFFFFF"/>
                <w:sz w:val="18"/>
                <w:szCs w:val="18"/>
              </w:rPr>
              <w:t xml:space="preserve">Evidence to request</w:t>
            </w:r>
          </w:p>
        </w:tc>
      </w:tr>
      <w:tr>
        <w:tc>
          <w:tcPr>
            <w:tcW w:type="dxa" w:w="195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DPDP-NOTICE-01</w:t>
            </w:r>
          </w:p>
        </w:tc>
        <w:tc>
          <w:tcPr>
            <w:tcW w:type="dxa" w:w="165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Notice</w:t>
            </w:r>
          </w:p>
        </w:tc>
        <w:tc>
          <w:tcPr>
            <w:tcW w:type="dxa" w:w="57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Current privacy notice doc; screenshot of notice at web/app/paper/API collection points</w:t>
            </w:r>
          </w:p>
        </w:tc>
      </w:tr>
      <w:tr>
        <w:tc>
          <w:tcPr>
            <w:tcW w:type="dxa" w:w="195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DPDP-NOTICE-02</w:t>
            </w:r>
          </w:p>
        </w:tc>
        <w:tc>
          <w:tcPr>
            <w:tcW w:type="dxa" w:w="165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Notice</w:t>
            </w:r>
          </w:p>
        </w:tc>
        <w:tc>
          <w:tcPr>
            <w:tcW w:type="dxa" w:w="57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Language versions (English + one Eighth Schedule language); translated notice SOP</w:t>
            </w:r>
          </w:p>
        </w:tc>
      </w:tr>
      <w:tr>
        <w:tc>
          <w:tcPr>
            <w:tcW w:type="dxa" w:w="195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DPDP-NOTICE-03</w:t>
            </w:r>
          </w:p>
        </w:tc>
        <w:tc>
          <w:tcPr>
            <w:tcW w:type="dxa" w:w="165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Notice</w:t>
            </w:r>
          </w:p>
        </w:tc>
        <w:tc>
          <w:tcPr>
            <w:tcW w:type="dxa" w:w="57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Legacy notice re-issuance evidence or pre-Act notice copies; transition plan</w:t>
            </w:r>
          </w:p>
        </w:tc>
      </w:tr>
      <w:tr>
        <w:tc>
          <w:tcPr>
            <w:tcW w:type="dxa" w:w="195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DPDP-CONSENT-01</w:t>
            </w:r>
          </w:p>
        </w:tc>
        <w:tc>
          <w:tcPr>
            <w:tcW w:type="dxa" w:w="165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Consent</w:t>
            </w:r>
          </w:p>
        </w:tc>
        <w:tc>
          <w:tcPr>
            <w:tcW w:type="dxa" w:w="57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Consent UI screenshots; consent log samples; affirmative action evidence (no pre-ticked boxes)</w:t>
            </w:r>
          </w:p>
        </w:tc>
      </w:tr>
      <w:tr>
        <w:tc>
          <w:tcPr>
            <w:tcW w:type="dxa" w:w="195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DPDP-CONSENT-02</w:t>
            </w:r>
          </w:p>
        </w:tc>
        <w:tc>
          <w:tcPr>
            <w:tcW w:type="dxa" w:w="165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Consent</w:t>
            </w:r>
          </w:p>
        </w:tc>
        <w:tc>
          <w:tcPr>
            <w:tcW w:type="dxa" w:w="57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Consent withdrawal UI; audit log showing processing stops after withdrawal</w:t>
            </w:r>
          </w:p>
        </w:tc>
      </w:tr>
      <w:tr>
        <w:tc>
          <w:tcPr>
            <w:tcW w:type="dxa" w:w="195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DPDP-CONSENT-03</w:t>
            </w:r>
          </w:p>
        </w:tc>
        <w:tc>
          <w:tcPr>
            <w:tcW w:type="dxa" w:w="165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Consent</w:t>
            </w:r>
          </w:p>
        </w:tc>
        <w:tc>
          <w:tcPr>
            <w:tcW w:type="dxa" w:w="57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Consent database schema extract with timestamp, purpose, data principal ID</w:t>
            </w:r>
          </w:p>
        </w:tc>
      </w:tr>
      <w:tr>
        <w:tc>
          <w:tcPr>
            <w:tcW w:type="dxa" w:w="195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DPDP-PURPOSE-01</w:t>
            </w:r>
          </w:p>
        </w:tc>
        <w:tc>
          <w:tcPr>
            <w:tcW w:type="dxa" w:w="165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Purpose</w:t>
            </w:r>
          </w:p>
        </w:tc>
        <w:tc>
          <w:tcPr>
            <w:tcW w:type="dxa" w:w="57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RoPA (Records of Processing Activities) — data element → lawful basis mapping</w:t>
            </w:r>
          </w:p>
        </w:tc>
      </w:tr>
      <w:tr>
        <w:tc>
          <w:tcPr>
            <w:tcW w:type="dxa" w:w="195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DPDP-PURPOSE-02</w:t>
            </w:r>
          </w:p>
        </w:tc>
        <w:tc>
          <w:tcPr>
            <w:tcW w:type="dxa" w:w="165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Purpose</w:t>
            </w:r>
          </w:p>
        </w:tc>
        <w:tc>
          <w:tcPr>
            <w:tcW w:type="dxa" w:w="57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Data retention schedule per category; automated deletion/archival evidence</w:t>
            </w:r>
          </w:p>
        </w:tc>
      </w:tr>
      <w:tr>
        <w:tc>
          <w:tcPr>
            <w:tcW w:type="dxa" w:w="195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DPDP-RIGHTS-01</w:t>
            </w:r>
          </w:p>
        </w:tc>
        <w:tc>
          <w:tcPr>
            <w:tcW w:type="dxa" w:w="165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Rights</w:t>
            </w:r>
          </w:p>
        </w:tc>
        <w:tc>
          <w:tcPr>
            <w:tcW w:type="dxa" w:w="57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Access request SOP; data summary technical mechanism; SLA; sample fulfilled requests</w:t>
            </w:r>
          </w:p>
        </w:tc>
      </w:tr>
      <w:tr>
        <w:tc>
          <w:tcPr>
            <w:tcW w:type="dxa" w:w="195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DPDP-RIGHTS-02</w:t>
            </w:r>
          </w:p>
        </w:tc>
        <w:tc>
          <w:tcPr>
            <w:tcW w:type="dxa" w:w="165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Rights</w:t>
            </w:r>
          </w:p>
        </w:tc>
        <w:tc>
          <w:tcPr>
            <w:tcW w:type="dxa" w:w="57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Correction/erasure workflow; cascading deletion to processors; sample fulfilled requests</w:t>
            </w:r>
          </w:p>
        </w:tc>
      </w:tr>
      <w:tr>
        <w:tc>
          <w:tcPr>
            <w:tcW w:type="dxa" w:w="195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DPDP-RIGHTS-03</w:t>
            </w:r>
          </w:p>
        </w:tc>
        <w:tc>
          <w:tcPr>
            <w:tcW w:type="dxa" w:w="165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Rights</w:t>
            </w:r>
          </w:p>
        </w:tc>
        <w:tc>
          <w:tcPr>
            <w:tcW w:type="dxa" w:w="57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Grievance officer designation letter; public-facing contact; ticketing/email SLA</w:t>
            </w:r>
          </w:p>
        </w:tc>
      </w:tr>
      <w:tr>
        <w:tc>
          <w:tcPr>
            <w:tcW w:type="dxa" w:w="195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DPDP-SEC-01</w:t>
            </w:r>
          </w:p>
        </w:tc>
        <w:tc>
          <w:tcPr>
            <w:tcW w:type="dxa" w:w="165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Security</w:t>
            </w:r>
          </w:p>
        </w:tc>
        <w:tc>
          <w:tcPr>
            <w:tcW w:type="dxa" w:w="57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Information security policy; encryption evidence (PII at rest + in transit); access controls</w:t>
            </w:r>
          </w:p>
        </w:tc>
      </w:tr>
      <w:tr>
        <w:tc>
          <w:tcPr>
            <w:tcW w:type="dxa" w:w="195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DPDP-SEC-02</w:t>
            </w:r>
          </w:p>
        </w:tc>
        <w:tc>
          <w:tcPr>
            <w:tcW w:type="dxa" w:w="165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Security</w:t>
            </w:r>
          </w:p>
        </w:tc>
        <w:tc>
          <w:tcPr>
            <w:tcW w:type="dxa" w:w="57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Signed DPAs with all processors (AWS, WhatsApp, Razorpay); processor security assessments</w:t>
            </w:r>
          </w:p>
        </w:tc>
      </w:tr>
      <w:tr>
        <w:tc>
          <w:tcPr>
            <w:tcW w:type="dxa" w:w="195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DPDP-BREACH-01</w:t>
            </w:r>
          </w:p>
        </w:tc>
        <w:tc>
          <w:tcPr>
            <w:tcW w:type="dxa" w:w="165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Breach</w:t>
            </w:r>
          </w:p>
        </w:tc>
        <w:tc>
          <w:tcPr>
            <w:tcW w:type="dxa" w:w="57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Incident response plan; DPBI notification template (72-hour SOP); 2-year breach log</w:t>
            </w:r>
          </w:p>
        </w:tc>
      </w:tr>
      <w:tr>
        <w:tc>
          <w:tcPr>
            <w:tcW w:type="dxa" w:w="195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DPDP-TRANSFER-01</w:t>
            </w:r>
          </w:p>
        </w:tc>
        <w:tc>
          <w:tcPr>
            <w:tcW w:type="dxa" w:w="165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Transfer</w:t>
            </w:r>
          </w:p>
        </w:tc>
        <w:tc>
          <w:tcPr>
            <w:tcW w:type="dxa" w:w="57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Cross-border transfer mapping; receiving-country adequacy status; DPAs with overseas recipients</w:t>
            </w:r>
          </w:p>
        </w:tc>
      </w:tr>
      <w:tr>
        <w:tc>
          <w:tcPr>
            <w:tcW w:type="dxa" w:w="195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DPDP-GOVERNANCE-01</w:t>
            </w:r>
          </w:p>
        </w:tc>
        <w:tc>
          <w:tcPr>
            <w:tcW w:type="dxa" w:w="165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Governance</w:t>
            </w:r>
          </w:p>
        </w:tc>
        <w:tc>
          <w:tcPr>
            <w:tcW w:type="dxa" w:w="57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DPO appointment letter; board reporting evidence; DPO public contact page</w:t>
            </w:r>
          </w:p>
        </w:tc>
      </w:tr>
      <w:tr>
        <w:tc>
          <w:tcPr>
            <w:tcW w:type="dxa" w:w="195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DPDP-SDF-01</w:t>
            </w:r>
          </w:p>
        </w:tc>
        <w:tc>
          <w:tcPr>
            <w:tcW w:type="dxa" w:w="165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SDF (if applicable)</w:t>
            </w:r>
          </w:p>
        </w:tc>
        <w:tc>
          <w:tcPr>
            <w:tcW w:type="dxa" w:w="57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SDF threshold assessment; DPIA methodology; completed DPIAs for qualifying activities</w:t>
            </w:r>
          </w:p>
        </w:tc>
      </w:tr>
      <w:tr>
        <w:tc>
          <w:tcPr>
            <w:tcW w:type="dxa" w:w="195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DPDP-CHILDREN-01</w:t>
            </w:r>
          </w:p>
        </w:tc>
        <w:tc>
          <w:tcPr>
            <w:tcW w:type="dxa" w:w="165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Children (if applicable)</w:t>
            </w:r>
          </w:p>
        </w:tc>
        <w:tc>
          <w:tcPr>
            <w:tcW w:type="dxa" w:w="57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Age verification mechanism; parental consent flow; technical age gate</w:t>
            </w:r>
          </w:p>
        </w:tc>
      </w:tr>
    </w:tbl>
    <w:p>
      <w:pPr>
        <w:pStyle w:val="Heading2"/>
      </w:pPr>
      <w:r>
        <w:t xml:space="preserve">Step 9 — Send evidence requests to client</w:t>
      </w:r>
    </w:p>
    <w:p>
      <w:pPr>
        <w:pStyle w:val="ListParagraph"/>
        <w:numPr>
          <w:ilvl w:val="0"/>
          <w:numId w:val="2"/>
        </w:numPr>
        <w:spacing w:after="50"/>
      </w:pPr>
      <w:r>
        <w:t xml:space="preserve">Each request is shared via the Client Portal at /portal/</w:t>
      </w:r>
    </w:p>
    <w:p>
      <w:pPr>
        <w:pStyle w:val="ListParagraph"/>
        <w:numPr>
          <w:ilvl w:val="0"/>
          <w:numId w:val="2"/>
        </w:numPr>
        <w:spacing w:after="50"/>
      </w:pPr>
      <w:r>
        <w:t xml:space="preserve">Client uploads directly against each request (PDF, DOCX, screenshots)</w:t>
      </w:r>
    </w:p>
    <w:p>
      <w:pPr>
        <w:pStyle w:val="ListParagraph"/>
        <w:numPr>
          <w:ilvl w:val="0"/>
          <w:numId w:val="2"/>
        </w:numPr>
        <w:spacing w:after="50"/>
      </w:pPr>
      <w:r>
        <w:t xml:space="preserve">Client-side roles: client_approver can view all; client_contributor can upload</w:t>
      </w:r>
    </w:p>
    <w:p>
      <w:pPr>
        <w:pBdr>
          <w:bottom w:val="single" w:color="2E75B6" w:sz="6" w:space="1"/>
        </w:pBdr>
        <w:spacing w:after="150" w:before="60"/>
      </w:pPr>
      <w:r>
        <w:t xml:space="preserve"/>
      </w:r>
    </w:p>
    <w:p>
      <w:pPr>
        <w:pStyle w:val="Heading1"/>
      </w:pPr>
      <w:r>
        <w:t xml:space="preserve">Stage 5 — G2 gate: evidence requests approved</w:t>
      </w:r>
    </w:p>
    <w:p>
      <w:pPr>
        <w:shd w:fill="EAF0F8" w:val="clear"/>
        <w:spacing w:after="60" w:before="60"/>
      </w:pPr>
      <w:r>
        <w:rPr>
          <w:b/>
          <w:bCs/>
          <w:color w:val="1F3864"/>
          <w:sz w:val="21"/>
          <w:szCs w:val="21"/>
        </w:rPr>
        <w:t xml:space="preserve">  G2 — All evidence requests issued and processor DPA inventory complete</w:t>
      </w:r>
    </w:p>
    <w:p>
      <w:pPr>
        <w:spacing w:after="120" w:line="276"/>
      </w:pPr>
      <w:r>
        <w:rPr>
          <w:i/>
          <w:iCs/>
          <w:color w:val="595959"/>
        </w:rPr>
        <w:t xml:space="preserve">Required approver: </w:t>
      </w:r>
      <w:r>
        <w:rPr>
          <w:b/>
          <w:bCs/>
          <w:color w:val="1F3864"/>
        </w:rPr>
        <w:t xml:space="preserve">lead_consultant</w:t>
      </w:r>
    </w:p>
    <w:p>
      <w:pPr>
        <w:spacing w:after="40"/>
        <w:ind w:left="360"/>
      </w:pPr>
      <w:r>
        <w:rPr>
          <w:color w:val="2E75B6"/>
        </w:rPr>
        <w:t xml:space="preserve">☐  </w:t>
      </w:r>
      <w:r>
        <w:t xml:space="preserve">All 18 evidence requests have been issued (status = open or fulfilled)</w:t>
      </w:r>
    </w:p>
    <w:p>
      <w:pPr>
        <w:spacing w:after="40"/>
        <w:ind w:left="360"/>
      </w:pPr>
      <w:r>
        <w:rPr>
          <w:color w:val="2E75B6"/>
        </w:rPr>
        <w:t xml:space="preserve">☐  </w:t>
      </w:r>
      <w:r>
        <w:t xml:space="preserve">Processor DPA inventory complete (signed DPAs or gaps documented)</w:t>
      </w:r>
    </w:p>
    <w:p>
      <w:pPr>
        <w:spacing w:after="40"/>
        <w:ind w:left="360"/>
      </w:pPr>
      <w:r>
        <w:rPr>
          <w:color w:val="2E75B6"/>
        </w:rPr>
        <w:t xml:space="preserve">☐  </w:t>
      </w:r>
      <w:r>
        <w:t xml:space="preserve">Client portal access confirmed for SRH contacts</w:t>
      </w:r>
    </w:p>
    <w:p>
      <w:pPr>
        <w:pBdr>
          <w:bottom w:val="single" w:color="2E75B6" w:sz="6" w:space="1"/>
        </w:pBdr>
        <w:spacing w:after="150" w:before="60"/>
      </w:pPr>
      <w:r>
        <w:t xml:space="preserve"/>
      </w:r>
    </w:p>
    <w:p>
      <w:pPr>
        <w:pStyle w:val="Heading1"/>
      </w:pPr>
      <w:r>
        <w:t xml:space="preserve">Stage 6 — Evidence collection and review</w:t>
      </w:r>
    </w:p>
    <w:p>
      <w:pPr>
        <w:pStyle w:val="Heading2"/>
      </w:pPr>
      <w:r>
        <w:t xml:space="preserve">Step 11 — Collect and classify evidence</w:t>
      </w:r>
    </w:p>
    <w:p>
      <w:pPr>
        <w:spacing w:after="120" w:line="276"/>
      </w:pPr>
      <w:r>
        <w:t xml:space="preserve">As the client uploads evidence via the portal:</w:t>
      </w:r>
    </w:p>
    <w:p>
      <w:pPr>
        <w:pStyle w:val="ListParagraph"/>
        <w:numPr>
          <w:ilvl w:val="0"/>
          <w:numId w:val="2"/>
        </w:numPr>
        <w:spacing w:after="50"/>
      </w:pPr>
      <w:r>
        <w:t xml:space="preserve">The platform auto-classifies uploads via the Claude Haiku evidence engine</w:t>
      </w:r>
    </w:p>
    <w:p>
      <w:pPr>
        <w:pStyle w:val="ListParagraph"/>
        <w:numPr>
          <w:ilvl w:val="0"/>
          <w:numId w:val="2"/>
        </w:numPr>
        <w:spacing w:after="50"/>
      </w:pPr>
      <w:r>
        <w:t xml:space="preserve">Files are deduplicated by SHA-256 (no re-upload of the same document)</w:t>
      </w:r>
    </w:p>
    <w:p>
      <w:pPr>
        <w:pStyle w:val="ListParagraph"/>
        <w:numPr>
          <w:ilvl w:val="0"/>
          <w:numId w:val="2"/>
        </w:numPr>
        <w:spacing w:after="50"/>
      </w:pPr>
      <w:r>
        <w:t xml:space="preserve">PDFs / DOCX / XLSX / images (via OCR) are all accepted</w:t>
      </w:r>
    </w:p>
    <w:p>
      <w:pPr>
        <w:spacing w:after="120" w:line="276"/>
      </w:pPr>
      <w:r>
        <w:rPr>
          <w:b/>
          <w:bCs/>
        </w:rPr>
        <w:t xml:space="preserve">Analyst review process per document:</w:t>
      </w:r>
    </w:p>
    <w:p>
      <w:pPr>
        <w:pStyle w:val="ListParagraph"/>
        <w:numPr>
          <w:ilvl w:val="0"/>
          <w:numId w:val="3"/>
        </w:numPr>
        <w:spacing w:after="50"/>
      </w:pPr>
      <w:r>
        <w:t xml:space="preserve">Open the evidence item.</w:t>
      </w:r>
    </w:p>
    <w:p>
      <w:pPr>
        <w:pStyle w:val="ListParagraph"/>
        <w:numPr>
          <w:ilvl w:val="0"/>
          <w:numId w:val="3"/>
        </w:numPr>
        <w:spacing w:after="50"/>
      </w:pPr>
      <w:r>
        <w:t xml:space="preserve">Verify it matches the requirement (e.g., a privacy notice must show all 4 required elements for DPDP-NOTICE-01).</w:t>
      </w:r>
    </w:p>
    <w:p>
      <w:pPr>
        <w:pStyle w:val="ListParagraph"/>
        <w:numPr>
          <w:ilvl w:val="0"/>
          <w:numId w:val="3"/>
        </w:numPr>
        <w:spacing w:after="50"/>
      </w:pPr>
      <w:r>
        <w:t xml:space="preserve">Mark accepted or rejected with a reason (rejection goes to the audit trail).</w:t>
      </w:r>
    </w:p>
    <w:p>
      <w:pPr>
        <w:pStyle w:val="ListParagraph"/>
        <w:numPr>
          <w:ilvl w:val="0"/>
          <w:numId w:val="3"/>
        </w:numPr>
        <w:spacing w:after="50"/>
      </w:pPr>
      <w:r>
        <w:t xml:space="preserve">If rejected, re-open the evidence request and notify the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3864" w:sz="24"/>
              <w:bottom w:val="none"/>
              <w:right w:val="none"/>
            </w:tcBorders>
            <w:shd w:fill="EAF0F8" w:val="clear"/>
            <w:tcMar>
              <w:top w:type="dxa" w:w="90"/>
              <w:left w:type="dxa" w:w="160"/>
              <w:bottom w:type="dxa" w:w="90"/>
              <w:right w:type="dxa" w:w="140"/>
            </w:tcMar>
          </w:tcPr>
          <w:p>
            <w:pPr>
              <w:spacing w:after="30"/>
            </w:pPr>
            <w:r>
              <w:rPr>
                <w:b/>
                <w:bCs/>
                <w:color w:val="1F3864"/>
                <w:sz w:val="20"/>
                <w:szCs w:val="20"/>
              </w:rPr>
              <w:t xml:space="preserve">Healthcare-specific evidence checks</w:t>
            </w:r>
          </w:p>
          <w:p>
            <w:r>
              <w:rPr>
                <w:sz w:val="20"/>
                <w:szCs w:val="20"/>
              </w:rPr>
              <w:t xml:space="preserve">Privacy notice must cite health data as a sensitive category. Biometric data (retinal scans, fingerprints) needs an explicit consent chain. Patient data retention must align with MCI/NMC rules (7 years for adults; until age 25 for minors) — note in findings if the retention schedule is shorter.</w:t>
            </w:r>
          </w:p>
        </w:tc>
      </w:tr>
    </w:tbl>
    <w:p>
      <w:pPr>
        <w:pBdr>
          <w:bottom w:val="single" w:color="2E75B6" w:sz="6" w:space="1"/>
        </w:pBdr>
        <w:spacing w:after="150" w:before="60"/>
      </w:pPr>
      <w:r>
        <w:t xml:space="preserve"/>
      </w:r>
    </w:p>
    <w:p>
      <w:pPr>
        <w:pStyle w:val="Heading1"/>
      </w:pPr>
      <w:r>
        <w:t xml:space="preserve">Stage 7 — G3 gate: evidence collection complete</w:t>
      </w:r>
    </w:p>
    <w:p>
      <w:pPr>
        <w:shd w:fill="EAF0F8" w:val="clear"/>
        <w:spacing w:after="60" w:before="60"/>
      </w:pPr>
      <w:r>
        <w:rPr>
          <w:b/>
          <w:bCs/>
          <w:color w:val="1F3864"/>
          <w:sz w:val="21"/>
          <w:szCs w:val="21"/>
        </w:rPr>
        <w:t xml:space="preserve">  G3 — Evidence collection complete or exceptions approved</w:t>
      </w:r>
    </w:p>
    <w:p>
      <w:pPr>
        <w:spacing w:after="120" w:line="276"/>
      </w:pPr>
      <w:r>
        <w:rPr>
          <w:i/>
          <w:iCs/>
          <w:color w:val="595959"/>
        </w:rPr>
        <w:t xml:space="preserve">Required approver: </w:t>
      </w:r>
      <w:r>
        <w:rPr>
          <w:b/>
          <w:bCs/>
          <w:color w:val="1F3864"/>
        </w:rPr>
        <w:t xml:space="preserve">lead_consultant</w:t>
      </w:r>
    </w:p>
    <w:p>
      <w:pPr>
        <w:spacing w:after="40"/>
        <w:ind w:left="360"/>
      </w:pPr>
      <w:r>
        <w:rPr>
          <w:color w:val="2E75B6"/>
        </w:rPr>
        <w:t xml:space="preserve">☐  </w:t>
      </w:r>
      <w:r>
        <w:t xml:space="preserve">All 18 requests are fulfilled or have approved exception / not-applicable justification</w:t>
      </w:r>
    </w:p>
    <w:p>
      <w:pPr>
        <w:spacing w:after="40"/>
        <w:ind w:left="360"/>
      </w:pPr>
      <w:r>
        <w:rPr>
          <w:color w:val="2E75B6"/>
        </w:rPr>
        <w:t xml:space="preserve">☐  </w:t>
      </w:r>
      <w:r>
        <w:t xml:space="preserve">No open re-requests outstanding</w:t>
      </w:r>
    </w:p>
    <w:p>
      <w:pPr>
        <w:spacing w:after="40"/>
        <w:ind w:left="360"/>
      </w:pPr>
      <w:r>
        <w:rPr>
          <w:color w:val="2E75B6"/>
        </w:rPr>
        <w:t xml:space="preserve">☐  </w:t>
      </w:r>
      <w:r>
        <w:t xml:space="preserve">Evidence archive locked (no more uploads without a new request)</w:t>
      </w:r>
    </w:p>
    <w:p>
      <w:pPr>
        <w:pBdr>
          <w:bottom w:val="single" w:color="2E75B6" w:sz="6" w:space="1"/>
        </w:pBdr>
        <w:spacing w:after="150" w:before="60"/>
      </w:pPr>
      <w:r>
        <w:t xml:space="preserve"/>
      </w:r>
    </w:p>
    <w:p>
      <w:pPr>
        <w:pStyle w:val="Heading1"/>
      </w:pPr>
      <w:r>
        <w:t xml:space="preserve">Stage 8 — Findings and gap analysis</w:t>
      </w:r>
    </w:p>
    <w:p>
      <w:pPr>
        <w:pStyle w:val="Heading2"/>
      </w:pPr>
      <w:r>
        <w:t xml:space="preserve">Step 13 — Create findings per gap</w:t>
      </w:r>
    </w:p>
    <w:p>
      <w:pPr>
        <w:spacing w:after="100"/>
      </w:pPr>
      <w:r>
        <w:rPr>
          <w:rFonts w:ascii="Consolas" w:cs="Consolas" w:eastAsia="Consolas" w:hAnsi="Consolas"/>
          <w:color w:val="2E75B6"/>
          <w:sz w:val="17"/>
          <w:szCs w:val="17"/>
        </w:rPr>
        <w:t xml:space="preserve">http://localhost:8000/ui/projects/57418f4d-71a7-40cd-978d-67dba91dcca1/findings</w:t>
      </w:r>
    </w:p>
    <w:p>
      <w:pPr>
        <w:spacing w:after="120" w:line="276"/>
      </w:pPr>
      <w:r>
        <w:t xml:space="preserve">For DPDP, findings = compliance gaps, not vulnerabilities. Severity maps to compliance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1"/>
              <w:left w:val="single" w:color="BFBFBF" w:sz="1"/>
              <w:bottom w:val="single" w:color="BFBFBF" w:sz="1"/>
              <w:right w:val="single" w:color="BFBFBF" w:sz="1"/>
            </w:tcBorders>
            <w:shd w:fill="2E75B6" w:val="clear"/>
            <w:tcMar>
              <w:top w:type="dxa" w:w="55"/>
              <w:left w:type="dxa" w:w="100"/>
              <w:bottom w:type="dxa" w:w="55"/>
              <w:right w:type="dxa" w:w="100"/>
            </w:tcMar>
            <w:vAlign w:val="center"/>
          </w:tcPr>
          <w:p>
            <w:pPr>
              <w:jc w:val="left"/>
            </w:pPr>
            <w:r>
              <w:rPr>
                <w:b/>
                <w:bCs/>
                <w:color w:val="FFFFFF"/>
                <w:sz w:val="18"/>
                <w:szCs w:val="18"/>
              </w:rPr>
              <w:t xml:space="preserve">Severity</w:t>
            </w:r>
          </w:p>
        </w:tc>
        <w:tc>
          <w:tcPr>
            <w:tcW w:type="dxa" w:w="7660"/>
            <w:tcBorders>
              <w:top w:val="single" w:color="BFBFBF" w:sz="1"/>
              <w:left w:val="single" w:color="BFBFBF" w:sz="1"/>
              <w:bottom w:val="single" w:color="BFBFBF" w:sz="1"/>
              <w:right w:val="single" w:color="BFBFBF" w:sz="1"/>
            </w:tcBorders>
            <w:shd w:fill="2E75B6" w:val="clear"/>
            <w:tcMar>
              <w:top w:type="dxa" w:w="55"/>
              <w:left w:type="dxa" w:w="100"/>
              <w:bottom w:type="dxa" w:w="55"/>
              <w:right w:type="dxa" w:w="100"/>
            </w:tcMar>
            <w:vAlign w:val="center"/>
          </w:tcPr>
          <w:p>
            <w:pPr>
              <w:jc w:val="left"/>
            </w:pPr>
            <w:r>
              <w:rPr>
                <w:b/>
                <w:bCs/>
                <w:color w:val="FFFFFF"/>
                <w:sz w:val="18"/>
                <w:szCs w:val="18"/>
              </w:rPr>
              <w:t xml:space="preserve">DPDP meaning</w:t>
            </w:r>
          </w:p>
        </w:tc>
      </w:tr>
      <w:tr>
        <w:tc>
          <w:tcPr>
            <w:tcW w:type="dxa" w:w="17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bCs/>
                <w:color w:val="C00000"/>
                <w:sz w:val="18"/>
                <w:szCs w:val="18"/>
              </w:rPr>
              <w:t xml:space="preserve">Critical</w:t>
            </w:r>
          </w:p>
        </w:tc>
        <w:tc>
          <w:tcPr>
            <w:tcW w:type="dxa" w:w="76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Missing or non-existent control; direct regulatory breach</w:t>
            </w:r>
          </w:p>
        </w:tc>
      </w:tr>
      <w:tr>
        <w:tc>
          <w:tcPr>
            <w:tcW w:type="dxa" w:w="17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bCs/>
                <w:color w:val="C55A11"/>
                <w:sz w:val="18"/>
                <w:szCs w:val="18"/>
              </w:rPr>
              <w:t xml:space="preserve">High</w:t>
            </w:r>
          </w:p>
        </w:tc>
        <w:tc>
          <w:tcPr>
            <w:tcW w:type="dxa" w:w="76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Control exists but has material gaps; breach likely under scrutiny</w:t>
            </w:r>
          </w:p>
        </w:tc>
      </w:tr>
      <w:tr>
        <w:tc>
          <w:tcPr>
            <w:tcW w:type="dxa" w:w="17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bCs/>
                <w:color w:val="BF8F00"/>
                <w:sz w:val="18"/>
                <w:szCs w:val="18"/>
              </w:rPr>
              <w:t xml:space="preserve">Medium</w:t>
            </w:r>
          </w:p>
        </w:tc>
        <w:tc>
          <w:tcPr>
            <w:tcW w:type="dxa" w:w="76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Control partially implemented; gap remediable in 30–60 days</w:t>
            </w:r>
          </w:p>
        </w:tc>
      </w:tr>
      <w:tr>
        <w:tc>
          <w:tcPr>
            <w:tcW w:type="dxa" w:w="17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bCs/>
                <w:color w:val="595959"/>
                <w:sz w:val="18"/>
                <w:szCs w:val="18"/>
              </w:rPr>
              <w:t xml:space="preserve">Low</w:t>
            </w:r>
          </w:p>
        </w:tc>
        <w:tc>
          <w:tcPr>
            <w:tcW w:type="dxa" w:w="76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Minor procedural gap; no immediate regulatory risk</w:t>
            </w:r>
          </w:p>
        </w:tc>
      </w:tr>
      <w:tr>
        <w:tc>
          <w:tcPr>
            <w:tcW w:type="dxa" w:w="17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bCs/>
                <w:color w:val="0F6E56"/>
                <w:sz w:val="18"/>
                <w:szCs w:val="18"/>
              </w:rPr>
              <w:t xml:space="preserve">Info</w:t>
            </w:r>
          </w:p>
        </w:tc>
        <w:tc>
          <w:tcPr>
            <w:tcW w:type="dxa" w:w="76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Observation / good-practice recommendation</w:t>
            </w:r>
          </w:p>
        </w:tc>
      </w:tr>
    </w:tbl>
    <w:p>
      <w:pPr>
        <w:spacing w:after="120" w:line="276"/>
      </w:pPr>
      <w:r>
        <w:rPr>
          <w:b/>
          <w:bCs/>
        </w:rPr>
        <w:t xml:space="preserve">Typical findings for a healthcare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360"/>
        <w:gridCol w:w="1700"/>
      </w:tblGrid>
      <w:tr>
        <w:trPr>
          <w:tblHeader/>
        </w:trPr>
        <w:tc>
          <w:tcPr>
            <w:tcW w:type="dxa" w:w="1300"/>
            <w:tcBorders>
              <w:top w:val="single" w:color="BFBFBF" w:sz="1"/>
              <w:left w:val="single" w:color="BFBFBF" w:sz="1"/>
              <w:bottom w:val="single" w:color="BFBFBF" w:sz="1"/>
              <w:right w:val="single" w:color="BFBFBF" w:sz="1"/>
            </w:tcBorders>
            <w:shd w:fill="2E75B6" w:val="clear"/>
            <w:tcMar>
              <w:top w:type="dxa" w:w="55"/>
              <w:left w:type="dxa" w:w="100"/>
              <w:bottom w:type="dxa" w:w="55"/>
              <w:right w:type="dxa" w:w="100"/>
            </w:tcMar>
            <w:vAlign w:val="center"/>
          </w:tcPr>
          <w:p>
            <w:pPr>
              <w:jc w:val="left"/>
            </w:pPr>
            <w:r>
              <w:rPr>
                <w:b/>
                <w:bCs/>
                <w:color w:val="FFFFFF"/>
                <w:sz w:val="18"/>
                <w:szCs w:val="18"/>
              </w:rPr>
              <w:t xml:space="preserve">Severity</w:t>
            </w:r>
          </w:p>
        </w:tc>
        <w:tc>
          <w:tcPr>
            <w:tcW w:type="dxa" w:w="6360"/>
            <w:tcBorders>
              <w:top w:val="single" w:color="BFBFBF" w:sz="1"/>
              <w:left w:val="single" w:color="BFBFBF" w:sz="1"/>
              <w:bottom w:val="single" w:color="BFBFBF" w:sz="1"/>
              <w:right w:val="single" w:color="BFBFBF" w:sz="1"/>
            </w:tcBorders>
            <w:shd w:fill="2E75B6" w:val="clear"/>
            <w:tcMar>
              <w:top w:type="dxa" w:w="55"/>
              <w:left w:type="dxa" w:w="100"/>
              <w:bottom w:type="dxa" w:w="55"/>
              <w:right w:type="dxa" w:w="100"/>
            </w:tcMar>
            <w:vAlign w:val="center"/>
          </w:tcPr>
          <w:p>
            <w:pPr>
              <w:jc w:val="left"/>
            </w:pPr>
            <w:r>
              <w:rPr>
                <w:b/>
                <w:bCs/>
                <w:color w:val="FFFFFF"/>
                <w:sz w:val="18"/>
                <w:szCs w:val="18"/>
              </w:rPr>
              <w:t xml:space="preserve">Finding</w:t>
            </w:r>
          </w:p>
        </w:tc>
        <w:tc>
          <w:tcPr>
            <w:tcW w:type="dxa" w:w="1700"/>
            <w:tcBorders>
              <w:top w:val="single" w:color="BFBFBF" w:sz="1"/>
              <w:left w:val="single" w:color="BFBFBF" w:sz="1"/>
              <w:bottom w:val="single" w:color="BFBFBF" w:sz="1"/>
              <w:right w:val="single" w:color="BFBFBF" w:sz="1"/>
            </w:tcBorders>
            <w:shd w:fill="2E75B6" w:val="clear"/>
            <w:tcMar>
              <w:top w:type="dxa" w:w="55"/>
              <w:left w:type="dxa" w:w="100"/>
              <w:bottom w:type="dxa" w:w="55"/>
              <w:right w:type="dxa" w:w="100"/>
            </w:tcMar>
            <w:vAlign w:val="center"/>
          </w:tcPr>
          <w:p>
            <w:pPr>
              <w:jc w:val="left"/>
            </w:pPr>
            <w:r>
              <w:rPr>
                <w:b/>
                <w:bCs/>
                <w:color w:val="FFFFFF"/>
                <w:sz w:val="18"/>
                <w:szCs w:val="18"/>
              </w:rPr>
              <w:t xml:space="preserve">Code</w:t>
            </w:r>
          </w:p>
        </w:tc>
      </w:tr>
      <w:tr>
        <w:tc>
          <w:tcPr>
            <w:tcW w:type="dxa" w:w="13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center"/>
            </w:pPr>
            <w:r>
              <w:rPr>
                <w:b/>
                <w:bCs/>
                <w:color w:val="C00000"/>
                <w:sz w:val="18"/>
                <w:szCs w:val="18"/>
              </w:rPr>
              <w:t xml:space="preserve">Critical</w:t>
            </w:r>
          </w:p>
        </w:tc>
        <w:tc>
          <w:tcPr>
            <w:tcW w:type="dxa" w:w="63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No signed DPA with AWS — processor bound by no written agreement; patient data transfers uncontrolled</w:t>
            </w:r>
          </w:p>
        </w:tc>
        <w:tc>
          <w:tcPr>
            <w:tcW w:type="dxa" w:w="17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DPDP-SEC-02</w:t>
            </w:r>
          </w:p>
        </w:tc>
      </w:tr>
      <w:tr>
        <w:tc>
          <w:tcPr>
            <w:tcW w:type="dxa" w:w="13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center"/>
            </w:pPr>
            <w:r>
              <w:rPr>
                <w:b/>
                <w:bCs/>
                <w:color w:val="C00000"/>
                <w:sz w:val="18"/>
                <w:szCs w:val="18"/>
              </w:rPr>
              <w:t xml:space="preserve">Critical</w:t>
            </w:r>
          </w:p>
        </w:tc>
        <w:tc>
          <w:tcPr>
            <w:tcW w:type="dxa" w:w="63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Children's data processed without age gate — telemedicine app allows under-18 registration, no parental consent</w:t>
            </w:r>
          </w:p>
        </w:tc>
        <w:tc>
          <w:tcPr>
            <w:tcW w:type="dxa" w:w="17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DPDP-CHILDREN-01</w:t>
            </w:r>
          </w:p>
        </w:tc>
      </w:tr>
      <w:tr>
        <w:tc>
          <w:tcPr>
            <w:tcW w:type="dxa" w:w="13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center"/>
            </w:pPr>
            <w:r>
              <w:rPr>
                <w:b/>
                <w:bCs/>
                <w:color w:val="C55A11"/>
                <w:sz w:val="18"/>
                <w:szCs w:val="18"/>
              </w:rPr>
              <w:t xml:space="preserve">High</w:t>
            </w:r>
          </w:p>
        </w:tc>
        <w:tc>
          <w:tcPr>
            <w:tcW w:type="dxa" w:w="63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Privacy notice missing grievance contact — omits DPBI complaint pathway</w:t>
            </w:r>
          </w:p>
        </w:tc>
        <w:tc>
          <w:tcPr>
            <w:tcW w:type="dxa" w:w="17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DPDP-NOTICE-01</w:t>
            </w:r>
          </w:p>
        </w:tc>
      </w:tr>
      <w:tr>
        <w:tc>
          <w:tcPr>
            <w:tcW w:type="dxa" w:w="13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center"/>
            </w:pPr>
            <w:r>
              <w:rPr>
                <w:b/>
                <w:bCs/>
                <w:color w:val="C55A11"/>
                <w:sz w:val="18"/>
                <w:szCs w:val="18"/>
              </w:rPr>
              <w:t xml:space="preserve">High</w:t>
            </w:r>
          </w:p>
        </w:tc>
        <w:tc>
          <w:tcPr>
            <w:tcW w:type="dxa" w:w="63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Consent withdrawal not technically possible — only email request to admin in HMS</w:t>
            </w:r>
          </w:p>
        </w:tc>
        <w:tc>
          <w:tcPr>
            <w:tcW w:type="dxa" w:w="17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DPDP-CONSENT-02</w:t>
            </w:r>
          </w:p>
        </w:tc>
      </w:tr>
      <w:tr>
        <w:tc>
          <w:tcPr>
            <w:tcW w:type="dxa" w:w="13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center"/>
            </w:pPr>
            <w:r>
              <w:rPr>
                <w:b/>
                <w:bCs/>
                <w:color w:val="C55A11"/>
                <w:sz w:val="18"/>
                <w:szCs w:val="18"/>
              </w:rPr>
              <w:t xml:space="preserve">High</w:t>
            </w:r>
          </w:p>
        </w:tc>
        <w:tc>
          <w:tcPr>
            <w:tcW w:type="dxa" w:w="63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RoPA not maintained — no Records of Processing Activities document exists</w:t>
            </w:r>
          </w:p>
        </w:tc>
        <w:tc>
          <w:tcPr>
            <w:tcW w:type="dxa" w:w="17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DPDP-PURPOSE-01</w:t>
            </w:r>
          </w:p>
        </w:tc>
      </w:tr>
      <w:tr>
        <w:tc>
          <w:tcPr>
            <w:tcW w:type="dxa" w:w="13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center"/>
            </w:pPr>
            <w:r>
              <w:rPr>
                <w:b/>
                <w:bCs/>
                <w:color w:val="C55A11"/>
                <w:sz w:val="18"/>
                <w:szCs w:val="18"/>
              </w:rPr>
              <w:t xml:space="preserve">High</w:t>
            </w:r>
          </w:p>
        </w:tc>
        <w:tc>
          <w:tcPr>
            <w:tcW w:type="dxa" w:w="63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DPO not designated — probable SDF; no DPO appointed or publicly listed</w:t>
            </w:r>
          </w:p>
        </w:tc>
        <w:tc>
          <w:tcPr>
            <w:tcW w:type="dxa" w:w="17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DPDP-GOVERNANCE-01</w:t>
            </w:r>
          </w:p>
        </w:tc>
      </w:tr>
      <w:tr>
        <w:tc>
          <w:tcPr>
            <w:tcW w:type="dxa" w:w="13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center"/>
            </w:pPr>
            <w:r>
              <w:rPr>
                <w:b/>
                <w:bCs/>
                <w:color w:val="BF8F00"/>
                <w:sz w:val="18"/>
                <w:szCs w:val="18"/>
              </w:rPr>
              <w:t xml:space="preserve">Medium</w:t>
            </w:r>
          </w:p>
        </w:tc>
        <w:tc>
          <w:tcPr>
            <w:tcW w:type="dxa" w:w="63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Cross-border transfers unmapped — flows to Singapore/US cloud undocumented; no adequacy assessment</w:t>
            </w:r>
          </w:p>
        </w:tc>
        <w:tc>
          <w:tcPr>
            <w:tcW w:type="dxa" w:w="17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DPDP-TRANSFER-01</w:t>
            </w:r>
          </w:p>
        </w:tc>
      </w:tr>
      <w:tr>
        <w:tc>
          <w:tcPr>
            <w:tcW w:type="dxa" w:w="13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center"/>
            </w:pPr>
            <w:r>
              <w:rPr>
                <w:b/>
                <w:bCs/>
                <w:color w:val="BF8F00"/>
                <w:sz w:val="18"/>
                <w:szCs w:val="18"/>
              </w:rPr>
              <w:t xml:space="preserve">Medium</w:t>
            </w:r>
          </w:p>
        </w:tc>
        <w:tc>
          <w:tcPr>
            <w:tcW w:type="dxa" w:w="63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Breach SOP missing 72-hour threshold — says “within reasonable time”</w:t>
            </w:r>
          </w:p>
        </w:tc>
        <w:tc>
          <w:tcPr>
            <w:tcW w:type="dxa" w:w="17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DPDP-BREACH-01</w:t>
            </w:r>
          </w:p>
        </w:tc>
      </w:tr>
      <w:tr>
        <w:tc>
          <w:tcPr>
            <w:tcW w:type="dxa" w:w="13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center"/>
            </w:pPr>
            <w:r>
              <w:rPr>
                <w:b/>
                <w:bCs/>
                <w:color w:val="BF8F00"/>
                <w:sz w:val="18"/>
                <w:szCs w:val="18"/>
              </w:rPr>
              <w:t xml:space="preserve">Medium</w:t>
            </w:r>
          </w:p>
        </w:tc>
        <w:tc>
          <w:tcPr>
            <w:tcW w:type="dxa" w:w="63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Retention schedule absent for biometric data — covers EHR but not biometrics/access logs</w:t>
            </w:r>
          </w:p>
        </w:tc>
        <w:tc>
          <w:tcPr>
            <w:tcW w:type="dxa" w:w="17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DPDP-PURPOSE-02</w:t>
            </w:r>
          </w:p>
        </w:tc>
      </w:tr>
      <w:tr>
        <w:tc>
          <w:tcPr>
            <w:tcW w:type="dxa" w:w="13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center"/>
            </w:pPr>
            <w:r>
              <w:rPr>
                <w:b/>
                <w:bCs/>
                <w:color w:val="595959"/>
                <w:sz w:val="18"/>
                <w:szCs w:val="18"/>
              </w:rPr>
              <w:t xml:space="preserve">Low</w:t>
            </w:r>
          </w:p>
        </w:tc>
        <w:tc>
          <w:tcPr>
            <w:tcW w:type="dxa" w:w="63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Privacy notice not available in Tamil — despite Tamil Nadu operations</w:t>
            </w:r>
          </w:p>
        </w:tc>
        <w:tc>
          <w:tcPr>
            <w:tcW w:type="dxa" w:w="17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DPDP-NOTICE-02</w:t>
            </w:r>
          </w:p>
        </w:tc>
      </w:tr>
    </w:tbl>
    <w:p>
      <w:pPr>
        <w:pStyle w:val="Heading2"/>
      </w:pPr>
      <w:r>
        <w:t xml:space="preserve">Step 14 — Create sector overlay findings</w:t>
      </w:r>
    </w:p>
    <w:p>
      <w:pPr>
        <w:spacing w:after="120" w:line="276"/>
      </w:pPr>
      <w:r>
        <w:t xml:space="preserve">DPDP + Healthcare adds obligations under ABDM (Ayushman Bharat Digital Mission) and DISHA (draft):</w:t>
      </w:r>
    </w:p>
    <w:p>
      <w:pPr>
        <w:pStyle w:val="ListParagraph"/>
        <w:numPr>
          <w:ilvl w:val="0"/>
          <w:numId w:val="2"/>
        </w:numPr>
        <w:spacing w:after="50"/>
      </w:pPr>
      <w:r>
        <w:t xml:space="preserve">Patient data portability (aligned with DPDP-RIGHTS-01)</w:t>
      </w:r>
    </w:p>
    <w:p>
      <w:pPr>
        <w:pStyle w:val="ListParagraph"/>
        <w:numPr>
          <w:ilvl w:val="0"/>
          <w:numId w:val="2"/>
        </w:numPr>
        <w:spacing w:after="50"/>
      </w:pPr>
      <w:r>
        <w:t xml:space="preserve">Consent Manager integration for ABHA-linked records</w:t>
      </w:r>
    </w:p>
    <w:p>
      <w:pPr>
        <w:pStyle w:val="ListParagraph"/>
        <w:numPr>
          <w:ilvl w:val="0"/>
          <w:numId w:val="2"/>
        </w:numPr>
        <w:spacing w:after="50"/>
      </w:pPr>
      <w:r>
        <w:t xml:space="preserve">These appear as Info or Medium findings tagged with the ABDM framework</w:t>
      </w:r>
    </w:p>
    <w:p>
      <w:pPr>
        <w:pBdr>
          <w:bottom w:val="single" w:color="2E75B6" w:sz="6" w:space="1"/>
        </w:pBdr>
        <w:spacing w:after="150" w:before="60"/>
      </w:pPr>
      <w:r>
        <w:t xml:space="preserve"/>
      </w:r>
    </w:p>
    <w:p>
      <w:pPr>
        <w:pStyle w:val="Heading1"/>
      </w:pPr>
      <w:r>
        <w:t xml:space="preserve">Stage 9 — G4 gate: findings approved</w:t>
      </w:r>
    </w:p>
    <w:p>
      <w:pPr>
        <w:shd w:fill="EAF0F8" w:val="clear"/>
        <w:spacing w:after="60" w:before="60"/>
      </w:pPr>
      <w:r>
        <w:rPr>
          <w:b/>
          <w:bCs/>
          <w:color w:val="1F3864"/>
          <w:sz w:val="21"/>
          <w:szCs w:val="21"/>
        </w:rPr>
        <w:t xml:space="preserve">  G4 — Findings reviewed, sector overlays assessed, gap severity confirmed</w:t>
      </w:r>
    </w:p>
    <w:p>
      <w:pPr>
        <w:spacing w:after="120" w:line="276"/>
      </w:pPr>
      <w:r>
        <w:rPr>
          <w:i/>
          <w:iCs/>
          <w:color w:val="595959"/>
        </w:rPr>
        <w:t xml:space="preserve">Required approver: </w:t>
      </w:r>
      <w:r>
        <w:rPr>
          <w:b/>
          <w:bCs/>
          <w:color w:val="1F3864"/>
        </w:rPr>
        <w:t xml:space="preserve">partner</w:t>
      </w:r>
    </w:p>
    <w:p>
      <w:pPr>
        <w:spacing w:after="40"/>
        <w:ind w:left="360"/>
      </w:pPr>
      <w:r>
        <w:rPr>
          <w:color w:val="2E75B6"/>
        </w:rPr>
        <w:t xml:space="preserve">☐  </w:t>
      </w:r>
      <w:r>
        <w:t xml:space="preserve">All findings have severity confirmed (no auto-draft left)</w:t>
      </w:r>
    </w:p>
    <w:p>
      <w:pPr>
        <w:spacing w:after="40"/>
        <w:ind w:left="360"/>
      </w:pPr>
      <w:r>
        <w:rPr>
          <w:color w:val="2E75B6"/>
        </w:rPr>
        <w:t xml:space="preserve">☐  </w:t>
      </w:r>
      <w:r>
        <w:t xml:space="preserve">Sector overlay (Healthcare / ABDM) assessed and tagged</w:t>
      </w:r>
    </w:p>
    <w:p>
      <w:pPr>
        <w:spacing w:after="40"/>
        <w:ind w:left="360"/>
      </w:pPr>
      <w:r>
        <w:rPr>
          <w:color w:val="2E75B6"/>
        </w:rPr>
        <w:t xml:space="preserve">☐  </w:t>
      </w:r>
      <w:r>
        <w:t xml:space="preserve">SDF-triggered findings (DPIA, DPO) appropriately marked Critical/High</w:t>
      </w:r>
    </w:p>
    <w:p>
      <w:pPr>
        <w:spacing w:after="40"/>
        <w:ind w:left="360"/>
      </w:pPr>
      <w:r>
        <w:rPr>
          <w:color w:val="2E75B6"/>
        </w:rPr>
        <w:t xml:space="preserve">☐  </w:t>
      </w:r>
      <w:r>
        <w:t xml:space="preserve">Finding statuses: all confirmed or accepted_risk (none left in draft)</w:t>
      </w:r>
    </w:p>
    <w:p>
      <w:pPr>
        <w:pBdr>
          <w:bottom w:val="single" w:color="2E75B6" w:sz="6" w:space="1"/>
        </w:pBdr>
        <w:spacing w:after="150" w:before="60"/>
      </w:pPr>
      <w:r>
        <w:t xml:space="preserve"/>
      </w:r>
    </w:p>
    <w:p>
      <w:pPr>
        <w:pStyle w:val="Heading1"/>
      </w:pPr>
      <w:r>
        <w:t xml:space="preserve">Stage 10 — Deliverables</w:t>
      </w:r>
    </w:p>
    <w:p>
      <w:pPr>
        <w:pStyle w:val="Heading2"/>
      </w:pPr>
      <w:r>
        <w:t xml:space="preserve">Step 16 — Build gap matrix (primary deliverable)</w:t>
      </w:r>
    </w:p>
    <w:p>
      <w:pPr>
        <w:spacing w:after="120" w:line="276"/>
      </w:pPr>
      <w:r>
        <w:t xml:space="preserve">The DPDP gap matrix covers all 18 requirements. Sample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700"/>
        <w:gridCol w:w="1260"/>
        <w:gridCol w:w="2300"/>
      </w:tblGrid>
      <w:tr>
        <w:trPr>
          <w:tblHeader/>
        </w:trPr>
        <w:tc>
          <w:tcPr>
            <w:tcW w:type="dxa" w:w="1900"/>
            <w:tcBorders>
              <w:top w:val="single" w:color="BFBFBF" w:sz="1"/>
              <w:left w:val="single" w:color="BFBFBF" w:sz="1"/>
              <w:bottom w:val="single" w:color="BFBFBF" w:sz="1"/>
              <w:right w:val="single" w:color="BFBFBF" w:sz="1"/>
            </w:tcBorders>
            <w:shd w:fill="2E75B6" w:val="clear"/>
            <w:tcMar>
              <w:top w:type="dxa" w:w="55"/>
              <w:left w:type="dxa" w:w="100"/>
              <w:bottom w:type="dxa" w:w="55"/>
              <w:right w:type="dxa" w:w="100"/>
            </w:tcMar>
            <w:vAlign w:val="center"/>
          </w:tcPr>
          <w:p>
            <w:pPr>
              <w:jc w:val="left"/>
            </w:pPr>
            <w:r>
              <w:rPr>
                <w:b/>
                <w:bCs/>
                <w:color w:val="FFFFFF"/>
                <w:sz w:val="18"/>
                <w:szCs w:val="18"/>
              </w:rPr>
              <w:t xml:space="preserve">Req code</w:t>
            </w:r>
          </w:p>
        </w:tc>
        <w:tc>
          <w:tcPr>
            <w:tcW w:type="dxa" w:w="2200"/>
            <w:tcBorders>
              <w:top w:val="single" w:color="BFBFBF" w:sz="1"/>
              <w:left w:val="single" w:color="BFBFBF" w:sz="1"/>
              <w:bottom w:val="single" w:color="BFBFBF" w:sz="1"/>
              <w:right w:val="single" w:color="BFBFBF" w:sz="1"/>
            </w:tcBorders>
            <w:shd w:fill="2E75B6" w:val="clear"/>
            <w:tcMar>
              <w:top w:type="dxa" w:w="55"/>
              <w:left w:type="dxa" w:w="100"/>
              <w:bottom w:type="dxa" w:w="55"/>
              <w:right w:type="dxa" w:w="100"/>
            </w:tcMar>
            <w:vAlign w:val="center"/>
          </w:tcPr>
          <w:p>
            <w:pPr>
              <w:jc w:val="left"/>
            </w:pPr>
            <w:r>
              <w:rPr>
                <w:b/>
                <w:bCs/>
                <w:color w:val="FFFFFF"/>
                <w:sz w:val="18"/>
                <w:szCs w:val="18"/>
              </w:rPr>
              <w:t xml:space="preserve">Requirement</w:t>
            </w:r>
          </w:p>
        </w:tc>
        <w:tc>
          <w:tcPr>
            <w:tcW w:type="dxa" w:w="1700"/>
            <w:tcBorders>
              <w:top w:val="single" w:color="BFBFBF" w:sz="1"/>
              <w:left w:val="single" w:color="BFBFBF" w:sz="1"/>
              <w:bottom w:val="single" w:color="BFBFBF" w:sz="1"/>
              <w:right w:val="single" w:color="BFBFBF" w:sz="1"/>
            </w:tcBorders>
            <w:shd w:fill="2E75B6" w:val="clear"/>
            <w:tcMar>
              <w:top w:type="dxa" w:w="55"/>
              <w:left w:type="dxa" w:w="100"/>
              <w:bottom w:type="dxa" w:w="55"/>
              <w:right w:type="dxa" w:w="100"/>
            </w:tcMar>
            <w:vAlign w:val="center"/>
          </w:tcPr>
          <w:p>
            <w:pPr>
              <w:jc w:val="left"/>
            </w:pPr>
            <w:r>
              <w:rPr>
                <w:b/>
                <w:bCs/>
                <w:color w:val="FFFFFF"/>
                <w:sz w:val="18"/>
                <w:szCs w:val="18"/>
              </w:rPr>
              <w:t xml:space="preserve">Status</w:t>
            </w:r>
          </w:p>
        </w:tc>
        <w:tc>
          <w:tcPr>
            <w:tcW w:type="dxa" w:w="1260"/>
            <w:tcBorders>
              <w:top w:val="single" w:color="BFBFBF" w:sz="1"/>
              <w:left w:val="single" w:color="BFBFBF" w:sz="1"/>
              <w:bottom w:val="single" w:color="BFBFBF" w:sz="1"/>
              <w:right w:val="single" w:color="BFBFBF" w:sz="1"/>
            </w:tcBorders>
            <w:shd w:fill="2E75B6" w:val="clear"/>
            <w:tcMar>
              <w:top w:type="dxa" w:w="55"/>
              <w:left w:type="dxa" w:w="100"/>
              <w:bottom w:type="dxa" w:w="55"/>
              <w:right w:type="dxa" w:w="100"/>
            </w:tcMar>
            <w:vAlign w:val="center"/>
          </w:tcPr>
          <w:p>
            <w:pPr>
              <w:jc w:val="left"/>
            </w:pPr>
            <w:r>
              <w:rPr>
                <w:b/>
                <w:bCs/>
                <w:color w:val="FFFFFF"/>
                <w:sz w:val="18"/>
                <w:szCs w:val="18"/>
              </w:rPr>
              <w:t xml:space="preserve">Severity</w:t>
            </w:r>
          </w:p>
        </w:tc>
        <w:tc>
          <w:tcPr>
            <w:tcW w:type="dxa" w:w="2300"/>
            <w:tcBorders>
              <w:top w:val="single" w:color="BFBFBF" w:sz="1"/>
              <w:left w:val="single" w:color="BFBFBF" w:sz="1"/>
              <w:bottom w:val="single" w:color="BFBFBF" w:sz="1"/>
              <w:right w:val="single" w:color="BFBFBF" w:sz="1"/>
            </w:tcBorders>
            <w:shd w:fill="2E75B6" w:val="clear"/>
            <w:tcMar>
              <w:top w:type="dxa" w:w="55"/>
              <w:left w:type="dxa" w:w="100"/>
              <w:bottom w:type="dxa" w:w="55"/>
              <w:right w:type="dxa" w:w="100"/>
            </w:tcMar>
            <w:vAlign w:val="center"/>
          </w:tcPr>
          <w:p>
            <w:pPr>
              <w:jc w:val="left"/>
            </w:pPr>
            <w:r>
              <w:rPr>
                <w:b/>
                <w:bCs/>
                <w:color w:val="FFFFFF"/>
                <w:sz w:val="18"/>
                <w:szCs w:val="18"/>
              </w:rPr>
              <w:t xml:space="preserve">Notes</w:t>
            </w:r>
          </w:p>
        </w:tc>
      </w:tr>
      <w:tr>
        <w:tc>
          <w:tcPr>
            <w:tcW w:type="dxa" w:w="19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DPDP-NOTICE-01</w:t>
            </w:r>
          </w:p>
        </w:tc>
        <w:tc>
          <w:tcPr>
            <w:tcW w:type="dxa" w:w="22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Privacy notice at collection</w:t>
            </w:r>
          </w:p>
        </w:tc>
        <w:tc>
          <w:tcPr>
            <w:tcW w:type="dxa" w:w="17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Partial</w:t>
            </w:r>
          </w:p>
        </w:tc>
        <w:tc>
          <w:tcPr>
            <w:tcW w:type="dxa" w:w="12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center"/>
            </w:pPr>
            <w:r>
              <w:rPr>
                <w:b/>
                <w:bCs/>
                <w:color w:val="C55A11"/>
                <w:sz w:val="18"/>
                <w:szCs w:val="18"/>
              </w:rPr>
              <w:t xml:space="preserve">High</w:t>
            </w:r>
          </w:p>
        </w:tc>
        <w:tc>
          <w:tcPr>
            <w:tcW w:type="dxa" w:w="23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Missing DPBI complaint path</w:t>
            </w:r>
          </w:p>
        </w:tc>
      </w:tr>
      <w:tr>
        <w:tc>
          <w:tcPr>
            <w:tcW w:type="dxa" w:w="19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DPDP-NOTICE-02</w:t>
            </w:r>
          </w:p>
        </w:tc>
        <w:tc>
          <w:tcPr>
            <w:tcW w:type="dxa" w:w="22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Multi-language notice</w:t>
            </w:r>
          </w:p>
        </w:tc>
        <w:tc>
          <w:tcPr>
            <w:tcW w:type="dxa" w:w="17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Non-compliant</w:t>
            </w:r>
          </w:p>
        </w:tc>
        <w:tc>
          <w:tcPr>
            <w:tcW w:type="dxa" w:w="12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center"/>
            </w:pPr>
            <w:r>
              <w:rPr>
                <w:b/>
                <w:bCs/>
                <w:color w:val="BF8F00"/>
                <w:sz w:val="18"/>
                <w:szCs w:val="18"/>
              </w:rPr>
              <w:t xml:space="preserve">Medium</w:t>
            </w:r>
          </w:p>
        </w:tc>
        <w:tc>
          <w:tcPr>
            <w:tcW w:type="dxa" w:w="23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No Tamil version</w:t>
            </w:r>
          </w:p>
        </w:tc>
      </w:tr>
      <w:tr>
        <w:tc>
          <w:tcPr>
            <w:tcW w:type="dxa" w:w="19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DPDP-CONSENT-01</w:t>
            </w:r>
          </w:p>
        </w:tc>
        <w:tc>
          <w:tcPr>
            <w:tcW w:type="dxa" w:w="22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Consent mechanics</w:t>
            </w:r>
          </w:p>
        </w:tc>
        <w:tc>
          <w:tcPr>
            <w:tcW w:type="dxa" w:w="17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Compliant</w:t>
            </w:r>
          </w:p>
        </w:tc>
        <w:tc>
          <w:tcPr>
            <w:tcW w:type="dxa" w:w="12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center"/>
            </w:pPr>
            <w:r>
              <w:rPr>
                <w:b/>
                <w:bCs/>
                <w:color w:val="000000"/>
                <w:sz w:val="18"/>
                <w:szCs w:val="18"/>
              </w:rPr>
              <w:t xml:space="preserve">—</w:t>
            </w:r>
          </w:p>
        </w:tc>
        <w:tc>
          <w:tcPr>
            <w:tcW w:type="dxa" w:w="23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OPD consent forms valid</w:t>
            </w:r>
          </w:p>
        </w:tc>
      </w:tr>
      <w:tr>
        <w:tc>
          <w:tcPr>
            <w:tcW w:type="dxa" w:w="19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DPDP-CONSENT-02</w:t>
            </w:r>
          </w:p>
        </w:tc>
        <w:tc>
          <w:tcPr>
            <w:tcW w:type="dxa" w:w="22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Consent withdrawal</w:t>
            </w:r>
          </w:p>
        </w:tc>
        <w:tc>
          <w:tcPr>
            <w:tcW w:type="dxa" w:w="17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Non-compliant</w:t>
            </w:r>
          </w:p>
        </w:tc>
        <w:tc>
          <w:tcPr>
            <w:tcW w:type="dxa" w:w="12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center"/>
            </w:pPr>
            <w:r>
              <w:rPr>
                <w:b/>
                <w:bCs/>
                <w:color w:val="C55A11"/>
                <w:sz w:val="18"/>
                <w:szCs w:val="18"/>
              </w:rPr>
              <w:t xml:space="preserve">High</w:t>
            </w:r>
          </w:p>
        </w:tc>
        <w:tc>
          <w:tcPr>
            <w:tcW w:type="dxa" w:w="23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No withdrawal mechanism</w:t>
            </w:r>
          </w:p>
        </w:tc>
      </w:tr>
      <w:tr>
        <w:tc>
          <w:tcPr>
            <w:tcW w:type="dxa" w:w="19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rFonts w:ascii="Consolas" w:cs="Consolas" w:eastAsia="Consolas" w:hAnsi="Consolas"/>
                <w:b w:val="false"/>
                <w:bCs w:val="false"/>
                <w:color w:val="0F6E56"/>
                <w:sz w:val="16"/>
                <w:szCs w:val="16"/>
              </w:rPr>
              <w:t xml:space="preserve">…</w:t>
            </w:r>
          </w:p>
        </w:tc>
        <w:tc>
          <w:tcPr>
            <w:tcW w:type="dxa" w:w="22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
            </w:r>
          </w:p>
        </w:tc>
        <w:tc>
          <w:tcPr>
            <w:tcW w:type="dxa" w:w="17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
            </w:r>
          </w:p>
        </w:tc>
        <w:tc>
          <w:tcPr>
            <w:tcW w:type="dxa" w:w="12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center"/>
            </w:pPr>
            <w:r>
              <w:rPr>
                <w:b/>
                <w:bCs/>
                <w:color w:val="000000"/>
                <w:sz w:val="18"/>
                <w:szCs w:val="18"/>
              </w:rPr>
              <w:t xml:space="preserve"/>
            </w:r>
          </w:p>
        </w:tc>
        <w:tc>
          <w:tcPr>
            <w:tcW w:type="dxa" w:w="23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
            </w:r>
          </w:p>
        </w:tc>
      </w:tr>
    </w:tbl>
    <w:p>
      <w:pPr>
        <w:spacing w:after="120" w:line="276"/>
      </w:pPr>
      <w:r>
        <w:rPr>
          <w:i/>
          <w:iCs/>
        </w:rPr>
        <w:t xml:space="preserve">Export this from the findings + requirements pages.</w:t>
      </w:r>
    </w:p>
    <w:p>
      <w:pPr>
        <w:pStyle w:val="Heading2"/>
      </w:pPr>
      <w:r>
        <w:t xml:space="preserve">Step 17 — Remediation roadmap</w:t>
      </w:r>
    </w:p>
    <w:p>
      <w:pPr>
        <w:spacing w:after="100"/>
      </w:pPr>
      <w:r>
        <w:rPr>
          <w:rFonts w:ascii="Consolas" w:cs="Consolas" w:eastAsia="Consolas" w:hAnsi="Consolas"/>
          <w:color w:val="2E75B6"/>
          <w:sz w:val="17"/>
          <w:szCs w:val="17"/>
        </w:rPr>
        <w:t xml:space="preserve">http://localhost:8000/ui/projects/57418f4d-71a7-40cd-978d-67dba91dcca1/remediation</w:t>
      </w:r>
    </w:p>
    <w:p>
      <w:pPr>
        <w:spacing w:after="120" w:line="276"/>
      </w:pPr>
      <w:r>
        <w:t xml:space="preserve">For each High/Critical finding, create a RemediationAction with a specific action, an owner, and a target date (immediate &lt;30 days, short &lt;90, medium &lt;180).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760"/>
      </w:tblGrid>
      <w:tr>
        <w:trPr>
          <w:tblHeader/>
        </w:trPr>
        <w:tc>
          <w:tcPr>
            <w:tcW w:type="dxa" w:w="2700"/>
            <w:tcBorders>
              <w:top w:val="single" w:color="BFBFBF" w:sz="1"/>
              <w:left w:val="single" w:color="BFBFBF" w:sz="1"/>
              <w:bottom w:val="single" w:color="BFBFBF" w:sz="1"/>
              <w:right w:val="single" w:color="BFBFBF" w:sz="1"/>
            </w:tcBorders>
            <w:shd w:fill="2E75B6" w:val="clear"/>
            <w:tcMar>
              <w:top w:type="dxa" w:w="55"/>
              <w:left w:type="dxa" w:w="100"/>
              <w:bottom w:type="dxa" w:w="55"/>
              <w:right w:type="dxa" w:w="100"/>
            </w:tcMar>
            <w:vAlign w:val="center"/>
          </w:tcPr>
          <w:p>
            <w:pPr>
              <w:jc w:val="left"/>
            </w:pPr>
            <w:r>
              <w:rPr>
                <w:b/>
                <w:bCs/>
                <w:color w:val="FFFFFF"/>
                <w:sz w:val="18"/>
                <w:szCs w:val="18"/>
              </w:rPr>
              <w:t xml:space="preserve">Phase</w:t>
            </w:r>
          </w:p>
        </w:tc>
        <w:tc>
          <w:tcPr>
            <w:tcW w:type="dxa" w:w="1900"/>
            <w:tcBorders>
              <w:top w:val="single" w:color="BFBFBF" w:sz="1"/>
              <w:left w:val="single" w:color="BFBFBF" w:sz="1"/>
              <w:bottom w:val="single" w:color="BFBFBF" w:sz="1"/>
              <w:right w:val="single" w:color="BFBFBF" w:sz="1"/>
            </w:tcBorders>
            <w:shd w:fill="2E75B6" w:val="clear"/>
            <w:tcMar>
              <w:top w:type="dxa" w:w="55"/>
              <w:left w:type="dxa" w:w="100"/>
              <w:bottom w:type="dxa" w:w="55"/>
              <w:right w:type="dxa" w:w="100"/>
            </w:tcMar>
            <w:vAlign w:val="center"/>
          </w:tcPr>
          <w:p>
            <w:pPr>
              <w:jc w:val="left"/>
            </w:pPr>
            <w:r>
              <w:rPr>
                <w:b/>
                <w:bCs/>
                <w:color w:val="FFFFFF"/>
                <w:sz w:val="18"/>
                <w:szCs w:val="18"/>
              </w:rPr>
              <w:t xml:space="preserve">Timeline</w:t>
            </w:r>
          </w:p>
        </w:tc>
        <w:tc>
          <w:tcPr>
            <w:tcW w:type="dxa" w:w="4760"/>
            <w:tcBorders>
              <w:top w:val="single" w:color="BFBFBF" w:sz="1"/>
              <w:left w:val="single" w:color="BFBFBF" w:sz="1"/>
              <w:bottom w:val="single" w:color="BFBFBF" w:sz="1"/>
              <w:right w:val="single" w:color="BFBFBF" w:sz="1"/>
            </w:tcBorders>
            <w:shd w:fill="2E75B6" w:val="clear"/>
            <w:tcMar>
              <w:top w:type="dxa" w:w="55"/>
              <w:left w:type="dxa" w:w="100"/>
              <w:bottom w:type="dxa" w:w="55"/>
              <w:right w:type="dxa" w:w="100"/>
            </w:tcMar>
            <w:vAlign w:val="center"/>
          </w:tcPr>
          <w:p>
            <w:pPr>
              <w:jc w:val="left"/>
            </w:pPr>
            <w:r>
              <w:rPr>
                <w:b/>
                <w:bCs/>
                <w:color w:val="FFFFFF"/>
                <w:sz w:val="18"/>
                <w:szCs w:val="18"/>
              </w:rPr>
              <w:t xml:space="preserve">Actions</w:t>
            </w:r>
          </w:p>
        </w:tc>
      </w:tr>
      <w:tr>
        <w:tc>
          <w:tcPr>
            <w:tcW w:type="dxa" w:w="27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bCs/>
                <w:color w:val="1F3864"/>
                <w:sz w:val="18"/>
                <w:szCs w:val="18"/>
              </w:rPr>
              <w:t xml:space="preserve">Immediate (0–30 days)</w:t>
            </w:r>
          </w:p>
        </w:tc>
        <w:tc>
          <w:tcPr>
            <w:tcW w:type="dxa" w:w="19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Before enforcement</w:t>
            </w:r>
          </w:p>
        </w:tc>
        <w:tc>
          <w:tcPr>
            <w:tcW w:type="dxa" w:w="47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DPO designation, AWS DPA execution, consent withdrawal mechanism</w:t>
            </w:r>
          </w:p>
        </w:tc>
      </w:tr>
      <w:tr>
        <w:tc>
          <w:tcPr>
            <w:tcW w:type="dxa" w:w="27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bCs/>
                <w:color w:val="1F3864"/>
                <w:sz w:val="18"/>
                <w:szCs w:val="18"/>
              </w:rPr>
              <w:t xml:space="preserve">Short term (30–90 days)</w:t>
            </w:r>
          </w:p>
        </w:tc>
        <w:tc>
          <w:tcPr>
            <w:tcW w:type="dxa" w:w="19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Q3</w:t>
            </w:r>
          </w:p>
        </w:tc>
        <w:tc>
          <w:tcPr>
            <w:tcW w:type="dxa" w:w="47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Tamil notice, breach notification SOP update, children's age gate MVP</w:t>
            </w:r>
          </w:p>
        </w:tc>
      </w:tr>
      <w:tr>
        <w:tc>
          <w:tcPr>
            <w:tcW w:type="dxa" w:w="27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bCs/>
                <w:color w:val="1F3864"/>
                <w:sz w:val="18"/>
                <w:szCs w:val="18"/>
              </w:rPr>
              <w:t xml:space="preserve">Medium term (90–180 days)</w:t>
            </w:r>
          </w:p>
        </w:tc>
        <w:tc>
          <w:tcPr>
            <w:tcW w:type="dxa" w:w="19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Q4</w:t>
            </w:r>
          </w:p>
        </w:tc>
        <w:tc>
          <w:tcPr>
            <w:tcW w:type="dxa" w:w="476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Full RoPA, cross-border transfer assessment, DPIA for high-risk processing</w:t>
            </w:r>
          </w:p>
        </w:tc>
      </w:tr>
      <w:tr>
        <w:tc>
          <w:tcPr>
            <w:tcW w:type="dxa" w:w="27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bCs/>
                <w:color w:val="1F3864"/>
                <w:sz w:val="18"/>
                <w:szCs w:val="18"/>
              </w:rPr>
              <w:t xml:space="preserve">Long term (180+ days)</w:t>
            </w:r>
          </w:p>
        </w:tc>
        <w:tc>
          <w:tcPr>
            <w:tcW w:type="dxa" w:w="19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Next year</w:t>
            </w:r>
          </w:p>
        </w:tc>
        <w:tc>
          <w:tcPr>
            <w:tcW w:type="dxa" w:w="476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ABDM Consent Manager integration, biometric retention policy</w:t>
            </w:r>
          </w:p>
        </w:tc>
      </w:tr>
    </w:tbl>
    <w:p>
      <w:pPr>
        <w:pBdr>
          <w:bottom w:val="single" w:color="2E75B6" w:sz="6" w:space="1"/>
        </w:pBdr>
        <w:spacing w:after="150" w:before="60"/>
      </w:pPr>
      <w:r>
        <w:t xml:space="preserve"/>
      </w:r>
    </w:p>
    <w:p>
      <w:pPr>
        <w:pStyle w:val="Heading1"/>
      </w:pPr>
      <w:r>
        <w:t xml:space="preserve">Stage 11 — G5 gate: draft report QA</w:t>
      </w:r>
    </w:p>
    <w:p>
      <w:pPr>
        <w:shd w:fill="EAF0F8" w:val="clear"/>
        <w:spacing w:after="60" w:before="60"/>
      </w:pPr>
      <w:r>
        <w:rPr>
          <w:b/>
          <w:bCs/>
          <w:color w:val="1F3864"/>
          <w:sz w:val="21"/>
          <w:szCs w:val="21"/>
        </w:rPr>
        <w:t xml:space="preserve">  G5 — Draft readiness report QA complete</w:t>
      </w:r>
    </w:p>
    <w:p>
      <w:pPr>
        <w:spacing w:after="120" w:line="276"/>
      </w:pPr>
      <w:r>
        <w:rPr>
          <w:i/>
          <w:iCs/>
          <w:color w:val="595959"/>
        </w:rPr>
        <w:t xml:space="preserve">Required approver: </w:t>
      </w:r>
      <w:r>
        <w:rPr>
          <w:b/>
          <w:bCs/>
          <w:color w:val="1F3864"/>
        </w:rPr>
        <w:t xml:space="preserve">qa</w:t>
      </w:r>
    </w:p>
    <w:p>
      <w:pPr>
        <w:spacing w:after="40"/>
        <w:ind w:left="360"/>
      </w:pPr>
      <w:r>
        <w:rPr>
          <w:color w:val="2E75B6"/>
        </w:rPr>
        <w:t xml:space="preserve">☐  </w:t>
      </w:r>
      <w:r>
        <w:t xml:space="preserve">All 18 requirements addressed (compliant / partial / non-compliant)</w:t>
      </w:r>
    </w:p>
    <w:p>
      <w:pPr>
        <w:spacing w:after="40"/>
        <w:ind w:left="360"/>
      </w:pPr>
      <w:r>
        <w:rPr>
          <w:color w:val="2E75B6"/>
        </w:rPr>
        <w:t xml:space="preserve">☐  </w:t>
      </w:r>
      <w:r>
        <w:t xml:space="preserve">Findings linked to requirements (no orphan finding)</w:t>
      </w:r>
    </w:p>
    <w:p>
      <w:pPr>
        <w:spacing w:after="40"/>
        <w:ind w:left="360"/>
      </w:pPr>
      <w:r>
        <w:rPr>
          <w:color w:val="2E75B6"/>
        </w:rPr>
        <w:t xml:space="preserve">☐  </w:t>
      </w:r>
      <w:r>
        <w:t xml:space="preserve">Evidence citations present for each compliant/partial assessment</w:t>
      </w:r>
    </w:p>
    <w:p>
      <w:pPr>
        <w:spacing w:after="40"/>
        <w:ind w:left="360"/>
      </w:pPr>
      <w:r>
        <w:rPr>
          <w:color w:val="2E75B6"/>
        </w:rPr>
        <w:t xml:space="preserve">☐  </w:t>
      </w:r>
      <w:r>
        <w:t xml:space="preserve">Remediation roadmap prioritised and dated</w:t>
      </w:r>
    </w:p>
    <w:p>
      <w:pPr>
        <w:spacing w:after="40"/>
        <w:ind w:left="360"/>
      </w:pPr>
      <w:r>
        <w:rPr>
          <w:color w:val="2E75B6"/>
        </w:rPr>
        <w:t xml:space="preserve">☐  </w:t>
      </w:r>
      <w:r>
        <w:t xml:space="preserve">Sector overlays reviewed for accuracy</w:t>
      </w:r>
    </w:p>
    <w:p>
      <w:pPr>
        <w:spacing w:after="40"/>
        <w:ind w:left="360"/>
      </w:pPr>
      <w:r>
        <w:rPr>
          <w:color w:val="2E75B6"/>
        </w:rPr>
        <w:t xml:space="preserve">☐  </w:t>
      </w:r>
      <w:r>
        <w:t xml:space="preserve">No patient data or PII visible in report screenshots (redact before attach)</w:t>
      </w:r>
    </w:p>
    <w:p>
      <w:pPr>
        <w:pBdr>
          <w:bottom w:val="single" w:color="2E75B6" w:sz="6" w:space="1"/>
        </w:pBdr>
        <w:spacing w:after="150" w:before="60"/>
      </w:pPr>
      <w:r>
        <w:t xml:space="preserve"/>
      </w:r>
    </w:p>
    <w:p>
      <w:pPr>
        <w:pStyle w:val="Heading1"/>
      </w:pPr>
      <w:r>
        <w:t xml:space="preserve">Stage 12 — G6 gate: final report approved</w:t>
      </w:r>
    </w:p>
    <w:p>
      <w:pPr>
        <w:shd w:fill="EAF0F8" w:val="clear"/>
        <w:spacing w:after="60" w:before="60"/>
      </w:pPr>
      <w:r>
        <w:rPr>
          <w:b/>
          <w:bCs/>
          <w:color w:val="1F3864"/>
          <w:sz w:val="21"/>
          <w:szCs w:val="21"/>
        </w:rPr>
        <w:t xml:space="preserve">  G6 — Final readiness report approved for delivery</w:t>
      </w:r>
    </w:p>
    <w:p>
      <w:pPr>
        <w:spacing w:after="120" w:line="276"/>
      </w:pPr>
      <w:r>
        <w:rPr>
          <w:i/>
          <w:iCs/>
          <w:color w:val="595959"/>
        </w:rPr>
        <w:t xml:space="preserve">Required approver: </w:t>
      </w:r>
      <w:r>
        <w:rPr>
          <w:b/>
          <w:bCs/>
          <w:color w:val="1F3864"/>
        </w:rPr>
        <w:t xml:space="preserve">partner</w:t>
      </w:r>
    </w:p>
    <w:p>
      <w:pPr>
        <w:spacing w:after="40"/>
        <w:ind w:left="360"/>
      </w:pPr>
      <w:r>
        <w:rPr>
          <w:color w:val="2E75B6"/>
        </w:rPr>
        <w:t xml:space="preserve">☐  </w:t>
      </w:r>
      <w:r>
        <w:t xml:space="preserve">Report reviewed for factual accuracy</w:t>
      </w:r>
    </w:p>
    <w:p>
      <w:pPr>
        <w:spacing w:after="40"/>
        <w:ind w:left="360"/>
      </w:pPr>
      <w:r>
        <w:rPr>
          <w:color w:val="2E75B6"/>
        </w:rPr>
        <w:t xml:space="preserve">☐  </w:t>
      </w:r>
      <w:r>
        <w:t xml:space="preserve">Commercial sensitivity checked (no competitor names, no internal system names in client copy)</w:t>
      </w:r>
    </w:p>
    <w:p>
      <w:pPr>
        <w:spacing w:after="40"/>
        <w:ind w:left="360"/>
      </w:pPr>
      <w:r>
        <w:rPr>
          <w:color w:val="2E75B6"/>
        </w:rPr>
        <w:t xml:space="preserve">☐  </w:t>
      </w:r>
      <w:r>
        <w:t xml:space="preserve">Signed engagement letter referenced in header</w:t>
      </w:r>
    </w:p>
    <w:p>
      <w:pPr>
        <w:spacing w:after="40"/>
        <w:ind w:left="360"/>
      </w:pPr>
      <w:r>
        <w:rPr>
          <w:color w:val="2E75B6"/>
        </w:rPr>
        <w:t xml:space="preserve">☐  </w:t>
      </w:r>
      <w:r>
        <w:t xml:space="preserve">Delivery to client: send via portal or encrypted email</w:t>
      </w:r>
    </w:p>
    <w:p>
      <w:pPr>
        <w:pBdr>
          <w:bottom w:val="single" w:color="2E75B6" w:sz="6" w:space="1"/>
        </w:pBdr>
        <w:spacing w:after="150" w:before="60"/>
      </w:pPr>
      <w:r>
        <w:t xml:space="preserve"/>
      </w:r>
    </w:p>
    <w:p>
      <w:pPr>
        <w:pStyle w:val="Heading1"/>
      </w:pPr>
      <w:r>
        <w:t xml:space="preserve">Stage 13 — G7 gate: closure</w:t>
      </w:r>
    </w:p>
    <w:p>
      <w:pPr>
        <w:shd w:fill="EAF0F8" w:val="clear"/>
        <w:spacing w:after="60" w:before="60"/>
      </w:pPr>
      <w:r>
        <w:rPr>
          <w:b/>
          <w:bCs/>
          <w:color w:val="1F3864"/>
          <w:sz w:val="21"/>
          <w:szCs w:val="21"/>
        </w:rPr>
        <w:t xml:space="preserve">  G7 — Remediation roadmap accepted and governance plan agreed</w:t>
      </w:r>
    </w:p>
    <w:p>
      <w:pPr>
        <w:spacing w:after="120" w:line="276"/>
      </w:pPr>
      <w:r>
        <w:rPr>
          <w:i/>
          <w:iCs/>
          <w:color w:val="595959"/>
        </w:rPr>
        <w:t xml:space="preserve">Required approver: </w:t>
      </w:r>
      <w:r>
        <w:rPr>
          <w:b/>
          <w:bCs/>
          <w:color w:val="1F3864"/>
        </w:rPr>
        <w:t xml:space="preserve">partner</w:t>
      </w:r>
    </w:p>
    <w:p>
      <w:pPr>
        <w:spacing w:after="40"/>
        <w:ind w:left="360"/>
      </w:pPr>
      <w:r>
        <w:rPr>
          <w:color w:val="2E75B6"/>
        </w:rPr>
        <w:t xml:space="preserve">☐  </w:t>
      </w:r>
      <w:r>
        <w:t xml:space="preserve">Client has reviewed and accepted the gap matrix</w:t>
      </w:r>
    </w:p>
    <w:p>
      <w:pPr>
        <w:spacing w:after="40"/>
        <w:ind w:left="360"/>
      </w:pPr>
      <w:r>
        <w:rPr>
          <w:color w:val="2E75B6"/>
        </w:rPr>
        <w:t xml:space="preserve">☐  </w:t>
      </w:r>
      <w:r>
        <w:t xml:space="preserve">Roadmap sign-off from CIO or DPO in writing</w:t>
      </w:r>
    </w:p>
    <w:p>
      <w:pPr>
        <w:spacing w:after="40"/>
        <w:ind w:left="360"/>
      </w:pPr>
      <w:r>
        <w:rPr>
          <w:color w:val="2E75B6"/>
        </w:rPr>
        <w:t xml:space="preserve">☐  </w:t>
      </w:r>
      <w:r>
        <w:t xml:space="preserve">Governance plan agreed: who owns each remediation, reporting cadence</w:t>
      </w:r>
    </w:p>
    <w:p>
      <w:pPr>
        <w:spacing w:after="40"/>
        <w:ind w:left="360"/>
      </w:pPr>
      <w:r>
        <w:rPr>
          <w:color w:val="2E75B6"/>
        </w:rPr>
        <w:t xml:space="preserve">☐  </w:t>
      </w:r>
      <w:r>
        <w:t xml:space="preserve">Project status → closed</w:t>
      </w:r>
    </w:p>
    <w:p>
      <w:pPr>
        <w:spacing w:after="40"/>
        <w:ind w:left="360"/>
      </w:pPr>
      <w:r>
        <w:rPr>
          <w:color w:val="2E75B6"/>
        </w:rPr>
        <w:t xml:space="preserve">☐  </w:t>
      </w:r>
      <w:r>
        <w:t xml:space="preserve">Evidence archive: retained 90 days post-closure per platform T&amp;C, then deleted</w:t>
      </w:r>
    </w:p>
    <w:p>
      <w:pPr>
        <w:pBdr>
          <w:bottom w:val="single" w:color="2E75B6" w:sz="6" w:space="1"/>
        </w:pBdr>
        <w:spacing w:after="150" w:before="60"/>
      </w:pPr>
      <w:r>
        <w:t xml:space="preserve"/>
      </w:r>
    </w:p>
    <w:p>
      <w:pPr>
        <w:pStyle w:val="Heading1"/>
      </w:pPr>
      <w:r>
        <w:t xml:space="preserve">Key DPDP vs VAPT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1"/>
              <w:left w:val="single" w:color="BFBFBF" w:sz="1"/>
              <w:bottom w:val="single" w:color="BFBFBF" w:sz="1"/>
              <w:right w:val="single" w:color="BFBFBF" w:sz="1"/>
            </w:tcBorders>
            <w:shd w:fill="2E75B6" w:val="clear"/>
            <w:tcMar>
              <w:top w:type="dxa" w:w="55"/>
              <w:left w:type="dxa" w:w="100"/>
              <w:bottom w:type="dxa" w:w="55"/>
              <w:right w:type="dxa" w:w="100"/>
            </w:tcMar>
            <w:vAlign w:val="center"/>
          </w:tcPr>
          <w:p>
            <w:pPr>
              <w:jc w:val="left"/>
            </w:pPr>
            <w:r>
              <w:rPr>
                <w:b/>
                <w:bCs/>
                <w:color w:val="FFFFFF"/>
                <w:sz w:val="18"/>
                <w:szCs w:val="18"/>
              </w:rPr>
              <w:t xml:space="preserve">Aspect</w:t>
            </w:r>
          </w:p>
        </w:tc>
        <w:tc>
          <w:tcPr>
            <w:tcW w:type="dxa" w:w="3580"/>
            <w:tcBorders>
              <w:top w:val="single" w:color="BFBFBF" w:sz="1"/>
              <w:left w:val="single" w:color="BFBFBF" w:sz="1"/>
              <w:bottom w:val="single" w:color="BFBFBF" w:sz="1"/>
              <w:right w:val="single" w:color="BFBFBF" w:sz="1"/>
            </w:tcBorders>
            <w:shd w:fill="2E75B6" w:val="clear"/>
            <w:tcMar>
              <w:top w:type="dxa" w:w="55"/>
              <w:left w:type="dxa" w:w="100"/>
              <w:bottom w:type="dxa" w:w="55"/>
              <w:right w:type="dxa" w:w="100"/>
            </w:tcMar>
            <w:vAlign w:val="center"/>
          </w:tcPr>
          <w:p>
            <w:pPr>
              <w:jc w:val="left"/>
            </w:pPr>
            <w:r>
              <w:rPr>
                <w:b/>
                <w:bCs/>
                <w:color w:val="FFFFFF"/>
                <w:sz w:val="18"/>
                <w:szCs w:val="18"/>
              </w:rPr>
              <w:t xml:space="preserve">VAPT</w:t>
            </w:r>
          </w:p>
        </w:tc>
        <w:tc>
          <w:tcPr>
            <w:tcW w:type="dxa" w:w="3580"/>
            <w:tcBorders>
              <w:top w:val="single" w:color="BFBFBF" w:sz="1"/>
              <w:left w:val="single" w:color="BFBFBF" w:sz="1"/>
              <w:bottom w:val="single" w:color="BFBFBF" w:sz="1"/>
              <w:right w:val="single" w:color="BFBFBF" w:sz="1"/>
            </w:tcBorders>
            <w:shd w:fill="2E75B6" w:val="clear"/>
            <w:tcMar>
              <w:top w:type="dxa" w:w="55"/>
              <w:left w:type="dxa" w:w="100"/>
              <w:bottom w:type="dxa" w:w="55"/>
              <w:right w:type="dxa" w:w="100"/>
            </w:tcMar>
            <w:vAlign w:val="center"/>
          </w:tcPr>
          <w:p>
            <w:pPr>
              <w:jc w:val="left"/>
            </w:pPr>
            <w:r>
              <w:rPr>
                <w:b/>
                <w:bCs/>
                <w:color w:val="FFFFFF"/>
                <w:sz w:val="18"/>
                <w:szCs w:val="18"/>
              </w:rPr>
              <w:t xml:space="preserve">DPDP</w:t>
            </w:r>
          </w:p>
        </w:tc>
      </w:tr>
      <w:tr>
        <w:tc>
          <w:tcPr>
            <w:tcW w:type="dxa" w:w="22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bCs/>
                <w:color w:val="1F3864"/>
                <w:sz w:val="18"/>
                <w:szCs w:val="18"/>
              </w:rPr>
              <w:t xml:space="preserve">Evidence type</w:t>
            </w:r>
          </w:p>
        </w:tc>
        <w:tc>
          <w:tcPr>
            <w:tcW w:type="dxa" w:w="358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Scan logs, screenshots, PoCs</w:t>
            </w:r>
          </w:p>
        </w:tc>
        <w:tc>
          <w:tcPr>
            <w:tcW w:type="dxa" w:w="358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Policies, signed agreements, process docs</w:t>
            </w:r>
          </w:p>
        </w:tc>
      </w:tr>
      <w:tr>
        <w:tc>
          <w:tcPr>
            <w:tcW w:type="dxa" w:w="22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bCs/>
                <w:color w:val="1F3864"/>
                <w:sz w:val="18"/>
                <w:szCs w:val="18"/>
              </w:rPr>
              <w:t xml:space="preserve">PT-Orc import</w:t>
            </w:r>
          </w:p>
        </w:tc>
        <w:tc>
          <w:tcPr>
            <w:tcW w:type="dxa" w:w="358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Yes (scope.json, findings.json)</w:t>
            </w:r>
          </w:p>
        </w:tc>
        <w:tc>
          <w:tcPr>
            <w:tcW w:type="dxa" w:w="358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No — manual finding creation</w:t>
            </w:r>
          </w:p>
        </w:tc>
      </w:tr>
      <w:tr>
        <w:tc>
          <w:tcPr>
            <w:tcW w:type="dxa" w:w="22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bCs/>
                <w:color w:val="1F3864"/>
                <w:sz w:val="18"/>
                <w:szCs w:val="18"/>
              </w:rPr>
              <w:t xml:space="preserve">Findings</w:t>
            </w:r>
          </w:p>
        </w:tc>
        <w:tc>
          <w:tcPr>
            <w:tcW w:type="dxa" w:w="358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Vulnerabilities (CVE-mapped)</w:t>
            </w:r>
          </w:p>
        </w:tc>
        <w:tc>
          <w:tcPr>
            <w:tcW w:type="dxa" w:w="358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Compliance gaps (DPDP-* mapped)</w:t>
            </w:r>
          </w:p>
        </w:tc>
      </w:tr>
      <w:tr>
        <w:tc>
          <w:tcPr>
            <w:tcW w:type="dxa" w:w="22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bCs/>
                <w:color w:val="1F3864"/>
                <w:sz w:val="18"/>
                <w:szCs w:val="18"/>
              </w:rPr>
              <w:t xml:space="preserve">Primary deliverable</w:t>
            </w:r>
          </w:p>
        </w:tc>
        <w:tc>
          <w:tcPr>
            <w:tcW w:type="dxa" w:w="358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Pentest report + PoCs</w:t>
            </w:r>
          </w:p>
        </w:tc>
        <w:tc>
          <w:tcPr>
            <w:tcW w:type="dxa" w:w="358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Gap matrix + remediation roadmap</w:t>
            </w:r>
          </w:p>
        </w:tc>
      </w:tr>
      <w:tr>
        <w:tc>
          <w:tcPr>
            <w:tcW w:type="dxa" w:w="22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bCs/>
                <w:color w:val="1F3864"/>
                <w:sz w:val="18"/>
                <w:szCs w:val="18"/>
              </w:rPr>
              <w:t xml:space="preserve">Sector overlays</w:t>
            </w:r>
          </w:p>
        </w:tc>
        <w:tc>
          <w:tcPr>
            <w:tcW w:type="dxa" w:w="358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CVE severity by asset</w:t>
            </w:r>
          </w:p>
        </w:tc>
        <w:tc>
          <w:tcPr>
            <w:tcW w:type="dxa" w:w="358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ABDM/DISHA/MCI rules (healthcare)</w:t>
            </w:r>
          </w:p>
        </w:tc>
      </w:tr>
      <w:tr>
        <w:tc>
          <w:tcPr>
            <w:tcW w:type="dxa" w:w="220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bCs/>
                <w:color w:val="1F3864"/>
                <w:sz w:val="18"/>
                <w:szCs w:val="18"/>
              </w:rPr>
              <w:t xml:space="preserve">SDF obligations</w:t>
            </w:r>
          </w:p>
        </w:tc>
        <w:tc>
          <w:tcPr>
            <w:tcW w:type="dxa" w:w="358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N/A</w:t>
            </w:r>
          </w:p>
        </w:tc>
        <w:tc>
          <w:tcPr>
            <w:tcW w:type="dxa" w:w="3580"/>
            <w:tcBorders>
              <w:top w:val="single" w:color="BFBFBF" w:sz="1"/>
              <w:left w:val="single" w:color="BFBFBF" w:sz="1"/>
              <w:bottom w:val="single" w:color="BFBFBF" w:sz="1"/>
              <w:right w:val="single" w:color="BFBFBF" w:sz="1"/>
            </w:tcBorders>
            <w:shd w:fill="F5F8FC" w:val="clear"/>
            <w:tcMar>
              <w:top w:type="dxa" w:w="55"/>
              <w:left w:type="dxa" w:w="100"/>
              <w:bottom w:type="dxa" w:w="55"/>
              <w:right w:type="dxa" w:w="100"/>
            </w:tcMar>
            <w:vAlign w:val="center"/>
          </w:tcPr>
          <w:p>
            <w:pPr>
              <w:jc w:val="left"/>
            </w:pPr>
            <w:r>
              <w:rPr>
                <w:b w:val="false"/>
                <w:bCs w:val="false"/>
                <w:color w:val="000000"/>
                <w:sz w:val="18"/>
                <w:szCs w:val="18"/>
              </w:rPr>
              <w:t xml:space="preserve">DPIA, DPO, data localisation</w:t>
            </w:r>
          </w:p>
        </w:tc>
      </w:tr>
      <w:tr>
        <w:tc>
          <w:tcPr>
            <w:tcW w:type="dxa" w:w="220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bCs/>
                <w:color w:val="1F3864"/>
                <w:sz w:val="18"/>
                <w:szCs w:val="18"/>
              </w:rPr>
              <w:t xml:space="preserve">Client portal use</w:t>
            </w:r>
          </w:p>
        </w:tc>
        <w:tc>
          <w:tcPr>
            <w:tcW w:type="dxa" w:w="358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Evidence uploads + finding review</w:t>
            </w:r>
          </w:p>
        </w:tc>
        <w:tc>
          <w:tcPr>
            <w:tcW w:type="dxa" w:w="3580"/>
            <w:tcBorders>
              <w:top w:val="single" w:color="BFBFBF" w:sz="1"/>
              <w:left w:val="single" w:color="BFBFBF" w:sz="1"/>
              <w:bottom w:val="single" w:color="BFBFBF" w:sz="1"/>
              <w:right w:val="single" w:color="BFBFBF" w:sz="1"/>
            </w:tcBorders>
            <w:shd w:fill="FFFFFF" w:val="clear"/>
            <w:tcMar>
              <w:top w:type="dxa" w:w="55"/>
              <w:left w:type="dxa" w:w="100"/>
              <w:bottom w:type="dxa" w:w="55"/>
              <w:right w:type="dxa" w:w="100"/>
            </w:tcMar>
            <w:vAlign w:val="center"/>
          </w:tcPr>
          <w:p>
            <w:pPr>
              <w:jc w:val="left"/>
            </w:pPr>
            <w:r>
              <w:rPr>
                <w:b w:val="false"/>
                <w:bCs w:val="false"/>
                <w:color w:val="000000"/>
                <w:sz w:val="18"/>
                <w:szCs w:val="18"/>
              </w:rPr>
              <w:t xml:space="preserve">Evidence uploads + roadmap acceptance</w:t>
            </w:r>
          </w:p>
        </w:tc>
      </w:tr>
    </w:tbl>
    <w:p>
      <w:pPr>
        <w:pBdr>
          <w:bottom w:val="single" w:color="2E75B6" w:sz="6" w:space="1"/>
        </w:pBdr>
        <w:spacing w:after="150" w:before="60"/>
      </w:pPr>
      <w:r>
        <w:t xml:space="preserve"/>
      </w:r>
    </w:p>
    <w:p>
      <w:pPr>
        <w:pStyle w:val="Heading1"/>
      </w:pPr>
      <w:r>
        <w:t xml:space="preserve">Quick reference — healthcare evidence checklist</w:t>
      </w:r>
    </w:p>
    <w:p>
      <w:pPr>
        <w:spacing w:after="120" w:line="276"/>
      </w:pPr>
      <w:r>
        <w:t xml:space="preserve">For SRH-Coimbatore, ask for these 18 documents mapped to requirements:</w:t>
      </w:r>
    </w:p>
    <w:p>
      <w:pPr>
        <w:pStyle w:val="ListParagraph"/>
        <w:numPr>
          <w:ilvl w:val="0"/>
          <w:numId w:val="4"/>
        </w:numPr>
        <w:spacing w:after="40"/>
      </w:pPr>
      <w:r>
        <w:t xml:space="preserve">Privacy notice (current live version)  </w:t>
      </w:r>
      <w:r>
        <w:rPr>
          <w:rFonts w:ascii="Consolas" w:cs="Consolas" w:eastAsia="Consolas" w:hAnsi="Consolas"/>
          <w:color w:val="0F6E56"/>
          <w:sz w:val="16"/>
          <w:szCs w:val="16"/>
        </w:rPr>
        <w:t xml:space="preserve">→ NOTICE-01</w:t>
      </w:r>
    </w:p>
    <w:p>
      <w:pPr>
        <w:pStyle w:val="ListParagraph"/>
        <w:numPr>
          <w:ilvl w:val="0"/>
          <w:numId w:val="4"/>
        </w:numPr>
        <w:spacing w:after="40"/>
      </w:pPr>
      <w:r>
        <w:t xml:space="preserve">Privacy notice in Tamil (or translation SOP)  </w:t>
      </w:r>
      <w:r>
        <w:rPr>
          <w:rFonts w:ascii="Consolas" w:cs="Consolas" w:eastAsia="Consolas" w:hAnsi="Consolas"/>
          <w:color w:val="0F6E56"/>
          <w:sz w:val="16"/>
          <w:szCs w:val="16"/>
        </w:rPr>
        <w:t xml:space="preserve">→ NOTICE-02</w:t>
      </w:r>
    </w:p>
    <w:p>
      <w:pPr>
        <w:pStyle w:val="ListParagraph"/>
        <w:numPr>
          <w:ilvl w:val="0"/>
          <w:numId w:val="4"/>
        </w:numPr>
        <w:spacing w:after="40"/>
      </w:pPr>
      <w:r>
        <w:t xml:space="preserve">Pre-Act notice / transition evidence  </w:t>
      </w:r>
      <w:r>
        <w:rPr>
          <w:rFonts w:ascii="Consolas" w:cs="Consolas" w:eastAsia="Consolas" w:hAnsi="Consolas"/>
          <w:color w:val="0F6E56"/>
          <w:sz w:val="16"/>
          <w:szCs w:val="16"/>
        </w:rPr>
        <w:t xml:space="preserve">→ NOTICE-03</w:t>
      </w:r>
    </w:p>
    <w:p>
      <w:pPr>
        <w:pStyle w:val="ListParagraph"/>
        <w:numPr>
          <w:ilvl w:val="0"/>
          <w:numId w:val="4"/>
        </w:numPr>
        <w:spacing w:after="40"/>
      </w:pPr>
      <w:r>
        <w:t xml:space="preserve">Consent UI screenshots + consent log extract  </w:t>
      </w:r>
      <w:r>
        <w:rPr>
          <w:rFonts w:ascii="Consolas" w:cs="Consolas" w:eastAsia="Consolas" w:hAnsi="Consolas"/>
          <w:color w:val="0F6E56"/>
          <w:sz w:val="16"/>
          <w:szCs w:val="16"/>
        </w:rPr>
        <w:t xml:space="preserve">→ CONSENT-01</w:t>
      </w:r>
    </w:p>
    <w:p>
      <w:pPr>
        <w:pStyle w:val="ListParagraph"/>
        <w:numPr>
          <w:ilvl w:val="0"/>
          <w:numId w:val="4"/>
        </w:numPr>
        <w:spacing w:after="40"/>
      </w:pPr>
      <w:r>
        <w:t xml:space="preserve">Consent withdrawal mechanism demo/screenshot  </w:t>
      </w:r>
      <w:r>
        <w:rPr>
          <w:rFonts w:ascii="Consolas" w:cs="Consolas" w:eastAsia="Consolas" w:hAnsi="Consolas"/>
          <w:color w:val="0F6E56"/>
          <w:sz w:val="16"/>
          <w:szCs w:val="16"/>
        </w:rPr>
        <w:t xml:space="preserve">→ CONSENT-02</w:t>
      </w:r>
    </w:p>
    <w:p>
      <w:pPr>
        <w:pStyle w:val="ListParagraph"/>
        <w:numPr>
          <w:ilvl w:val="0"/>
          <w:numId w:val="4"/>
        </w:numPr>
        <w:spacing w:after="40"/>
      </w:pPr>
      <w:r>
        <w:t xml:space="preserve">Consent database schema extract  </w:t>
      </w:r>
      <w:r>
        <w:rPr>
          <w:rFonts w:ascii="Consolas" w:cs="Consolas" w:eastAsia="Consolas" w:hAnsi="Consolas"/>
          <w:color w:val="0F6E56"/>
          <w:sz w:val="16"/>
          <w:szCs w:val="16"/>
        </w:rPr>
        <w:t xml:space="preserve">→ CONSENT-03</w:t>
      </w:r>
    </w:p>
    <w:p>
      <w:pPr>
        <w:pStyle w:val="ListParagraph"/>
        <w:numPr>
          <w:ilvl w:val="0"/>
          <w:numId w:val="4"/>
        </w:numPr>
        <w:spacing w:after="40"/>
      </w:pPr>
      <w:r>
        <w:t xml:space="preserve">RoPA (Records of Processing Activities)  </w:t>
      </w:r>
      <w:r>
        <w:rPr>
          <w:rFonts w:ascii="Consolas" w:cs="Consolas" w:eastAsia="Consolas" w:hAnsi="Consolas"/>
          <w:color w:val="0F6E56"/>
          <w:sz w:val="16"/>
          <w:szCs w:val="16"/>
        </w:rPr>
        <w:t xml:space="preserve">→ PURPOSE-01</w:t>
      </w:r>
    </w:p>
    <w:p>
      <w:pPr>
        <w:pStyle w:val="ListParagraph"/>
        <w:numPr>
          <w:ilvl w:val="0"/>
          <w:numId w:val="4"/>
        </w:numPr>
        <w:spacing w:after="40"/>
      </w:pPr>
      <w:r>
        <w:t xml:space="preserve">Data retention schedule (all categories incl. biometric)  </w:t>
      </w:r>
      <w:r>
        <w:rPr>
          <w:rFonts w:ascii="Consolas" w:cs="Consolas" w:eastAsia="Consolas" w:hAnsi="Consolas"/>
          <w:color w:val="0F6E56"/>
          <w:sz w:val="16"/>
          <w:szCs w:val="16"/>
        </w:rPr>
        <w:t xml:space="preserve">→ PURPOSE-02</w:t>
      </w:r>
    </w:p>
    <w:p>
      <w:pPr>
        <w:pStyle w:val="ListParagraph"/>
        <w:numPr>
          <w:ilvl w:val="0"/>
          <w:numId w:val="4"/>
        </w:numPr>
        <w:spacing w:after="40"/>
      </w:pPr>
      <w:r>
        <w:t xml:space="preserve">Access request SOP + sample fulfilled request  </w:t>
      </w:r>
      <w:r>
        <w:rPr>
          <w:rFonts w:ascii="Consolas" w:cs="Consolas" w:eastAsia="Consolas" w:hAnsi="Consolas"/>
          <w:color w:val="0F6E56"/>
          <w:sz w:val="16"/>
          <w:szCs w:val="16"/>
        </w:rPr>
        <w:t xml:space="preserve">→ RIGHTS-01</w:t>
      </w:r>
    </w:p>
    <w:p>
      <w:pPr>
        <w:pStyle w:val="ListParagraph"/>
        <w:numPr>
          <w:ilvl w:val="0"/>
          <w:numId w:val="4"/>
        </w:numPr>
        <w:spacing w:after="40"/>
      </w:pPr>
      <w:r>
        <w:t xml:space="preserve">Correction/erasure workflow + deletion evidence  </w:t>
      </w:r>
      <w:r>
        <w:rPr>
          <w:rFonts w:ascii="Consolas" w:cs="Consolas" w:eastAsia="Consolas" w:hAnsi="Consolas"/>
          <w:color w:val="0F6E56"/>
          <w:sz w:val="16"/>
          <w:szCs w:val="16"/>
        </w:rPr>
        <w:t xml:space="preserve">→ RIGHTS-02</w:t>
      </w:r>
    </w:p>
    <w:p>
      <w:pPr>
        <w:pStyle w:val="ListParagraph"/>
        <w:numPr>
          <w:ilvl w:val="0"/>
          <w:numId w:val="4"/>
        </w:numPr>
        <w:spacing w:after="40"/>
      </w:pPr>
      <w:r>
        <w:t xml:space="preserve">Grievance officer letter + public contact page screenshot  </w:t>
      </w:r>
      <w:r>
        <w:rPr>
          <w:rFonts w:ascii="Consolas" w:cs="Consolas" w:eastAsia="Consolas" w:hAnsi="Consolas"/>
          <w:color w:val="0F6E56"/>
          <w:sz w:val="16"/>
          <w:szCs w:val="16"/>
        </w:rPr>
        <w:t xml:space="preserve">→ RIGHTS-03</w:t>
      </w:r>
    </w:p>
    <w:p>
      <w:pPr>
        <w:pStyle w:val="ListParagraph"/>
        <w:numPr>
          <w:ilvl w:val="0"/>
          <w:numId w:val="4"/>
        </w:numPr>
        <w:spacing w:after="40"/>
      </w:pPr>
      <w:r>
        <w:t xml:space="preserve">Information security policy + encryption certificates  </w:t>
      </w:r>
      <w:r>
        <w:rPr>
          <w:rFonts w:ascii="Consolas" w:cs="Consolas" w:eastAsia="Consolas" w:hAnsi="Consolas"/>
          <w:color w:val="0F6E56"/>
          <w:sz w:val="16"/>
          <w:szCs w:val="16"/>
        </w:rPr>
        <w:t xml:space="preserve">→ SEC-01</w:t>
      </w:r>
    </w:p>
    <w:p>
      <w:pPr>
        <w:pStyle w:val="ListParagraph"/>
        <w:numPr>
          <w:ilvl w:val="0"/>
          <w:numId w:val="4"/>
        </w:numPr>
        <w:spacing w:after="40"/>
      </w:pPr>
      <w:r>
        <w:t xml:space="preserve">Signed DPAs with AWS, WhatsApp, Razorpay  </w:t>
      </w:r>
      <w:r>
        <w:rPr>
          <w:rFonts w:ascii="Consolas" w:cs="Consolas" w:eastAsia="Consolas" w:hAnsi="Consolas"/>
          <w:color w:val="0F6E56"/>
          <w:sz w:val="16"/>
          <w:szCs w:val="16"/>
        </w:rPr>
        <w:t xml:space="preserve">→ SEC-02</w:t>
      </w:r>
    </w:p>
    <w:p>
      <w:pPr>
        <w:pStyle w:val="ListParagraph"/>
        <w:numPr>
          <w:ilvl w:val="0"/>
          <w:numId w:val="4"/>
        </w:numPr>
        <w:spacing w:after="40"/>
      </w:pPr>
      <w:r>
        <w:t xml:space="preserve">Incident response plan (breach notification section)  </w:t>
      </w:r>
      <w:r>
        <w:rPr>
          <w:rFonts w:ascii="Consolas" w:cs="Consolas" w:eastAsia="Consolas" w:hAnsi="Consolas"/>
          <w:color w:val="0F6E56"/>
          <w:sz w:val="16"/>
          <w:szCs w:val="16"/>
        </w:rPr>
        <w:t xml:space="preserve">→ BREACH-01</w:t>
      </w:r>
    </w:p>
    <w:p>
      <w:pPr>
        <w:pStyle w:val="ListParagraph"/>
        <w:numPr>
          <w:ilvl w:val="0"/>
          <w:numId w:val="4"/>
        </w:numPr>
        <w:spacing w:after="40"/>
      </w:pPr>
      <w:r>
        <w:t xml:space="preserve">Cross-border transfer mapping + adequacy assessment  </w:t>
      </w:r>
      <w:r>
        <w:rPr>
          <w:rFonts w:ascii="Consolas" w:cs="Consolas" w:eastAsia="Consolas" w:hAnsi="Consolas"/>
          <w:color w:val="0F6E56"/>
          <w:sz w:val="16"/>
          <w:szCs w:val="16"/>
        </w:rPr>
        <w:t xml:space="preserve">→ TRANSFER-01</w:t>
      </w:r>
    </w:p>
    <w:p>
      <w:pPr>
        <w:pStyle w:val="ListParagraph"/>
        <w:numPr>
          <w:ilvl w:val="0"/>
          <w:numId w:val="4"/>
        </w:numPr>
        <w:spacing w:after="40"/>
      </w:pPr>
      <w:r>
        <w:t xml:space="preserve">DPO appointment letter + board reporting evidence  </w:t>
      </w:r>
      <w:r>
        <w:rPr>
          <w:rFonts w:ascii="Consolas" w:cs="Consolas" w:eastAsia="Consolas" w:hAnsi="Consolas"/>
          <w:color w:val="0F6E56"/>
          <w:sz w:val="16"/>
          <w:szCs w:val="16"/>
        </w:rPr>
        <w:t xml:space="preserve">→ GOVERNANCE-01</w:t>
      </w:r>
    </w:p>
    <w:p>
      <w:pPr>
        <w:pStyle w:val="ListParagraph"/>
        <w:numPr>
          <w:ilvl w:val="0"/>
          <w:numId w:val="4"/>
        </w:numPr>
        <w:spacing w:after="40"/>
      </w:pPr>
      <w:r>
        <w:t xml:space="preserve">SDF threshold assessment + DPIA methodology (if SDF)  </w:t>
      </w:r>
      <w:r>
        <w:rPr>
          <w:rFonts w:ascii="Consolas" w:cs="Consolas" w:eastAsia="Consolas" w:hAnsi="Consolas"/>
          <w:color w:val="0F6E56"/>
          <w:sz w:val="16"/>
          <w:szCs w:val="16"/>
        </w:rPr>
        <w:t xml:space="preserve">→ SDF-01</w:t>
      </w:r>
    </w:p>
    <w:p>
      <w:pPr>
        <w:pStyle w:val="ListParagraph"/>
        <w:numPr>
          <w:ilvl w:val="0"/>
          <w:numId w:val="4"/>
        </w:numPr>
        <w:spacing w:after="40"/>
      </w:pPr>
      <w:r>
        <w:t xml:space="preserve">Age verification + parental consent flow (if children's data)  </w:t>
      </w:r>
      <w:r>
        <w:rPr>
          <w:rFonts w:ascii="Consolas" w:cs="Consolas" w:eastAsia="Consolas" w:hAnsi="Consolas"/>
          <w:color w:val="0F6E56"/>
          <w:sz w:val="16"/>
          <w:szCs w:val="16"/>
        </w:rPr>
        <w:t xml:space="preserve">→ CHILDREN-01</w:t>
      </w:r>
    </w:p>
    <w:p>
      <w:pPr>
        <w:pBdr>
          <w:bottom w:val="single" w:color="2E75B6" w:sz="6" w:space="1"/>
        </w:pBdr>
        <w:spacing w:after="15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3864" w:sz="24"/>
              <w:bottom w:val="none"/>
              <w:right w:val="none"/>
            </w:tcBorders>
            <w:shd w:fill="EAF0F8" w:val="clear"/>
            <w:tcMar>
              <w:top w:type="dxa" w:w="90"/>
              <w:left w:type="dxa" w:w="160"/>
              <w:bottom w:type="dxa" w:w="90"/>
              <w:right w:type="dxa" w:w="140"/>
            </w:tcMar>
          </w:tcPr>
          <w:p>
            <w:pPr>
              <w:spacing w:after="30"/>
            </w:pPr>
            <w:r>
              <w:rPr>
                <w:b/>
                <w:bCs/>
                <w:color w:val="1F3864"/>
                <w:sz w:val="20"/>
                <w:szCs w:val="20"/>
              </w:rPr>
              <w:t xml:space="preserve">To begin</w:t>
            </w:r>
          </w:p>
          <w:p>
            <w:r>
              <w:rPr>
                <w:sz w:val="20"/>
                <w:szCs w:val="20"/>
              </w:rPr>
              <w:t xml:space="preserve">The server runs at http://localhost:8000. Log in with admin@techguard.local / Admin@TG2026 and open the SRH-Coimbatore project. Pack attachment at Step 3 is the first action — the project currently has pack_id = None.</w:t>
            </w:r>
          </w:p>
        </w:tc>
      </w:tr>
    </w:tbl>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TechGuard Labs — Confidential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color w:val="595959"/>
        <w:sz w:val="16"/>
        <w:szCs w:val="16"/>
      </w:rPr>
      <w:t xml:space="preserve">TG Audit Orchestrator — DPDP Engagement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00"/>
      <w:outlineLvl w:val="0"/>
    </w:pPr>
    <w:rPr>
      <w:rFonts w:ascii="Arial" w:cs="Arial" w:eastAsia="Arial" w:hAnsi="Arial"/>
      <w:b/>
      <w:bCs/>
      <w:color w:val="1F3864"/>
      <w:sz w:val="27"/>
      <w:szCs w:val="27"/>
    </w:rPr>
  </w:style>
  <w:style w:type="paragraph" w:styleId="Heading2">
    <w:name w:val="Heading 2"/>
    <w:basedOn w:val="Normal"/>
    <w:next w:val="Normal"/>
    <w:qFormat/>
    <w:pPr>
      <w:spacing w:after="60" w:before="13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TG Audit Orchestrator — DPDP Engagement Guide</dc:title>
  <dc:creator>TechGuard Labs</dc:creator>
  <cp:lastModifiedBy>Un-named</cp:lastModifiedBy>
  <cp:revision>1</cp:revision>
  <dcterms:created xsi:type="dcterms:W3CDTF">2026-06-07T08:02:44.065Z</dcterms:created>
  <dcterms:modified xsi:type="dcterms:W3CDTF">2026-06-07T08:02:44.080Z</dcterms:modified>
</cp:coreProperties>
</file>

<file path=docProps/custom.xml><?xml version="1.0" encoding="utf-8"?>
<Properties xmlns="http://schemas.openxmlformats.org/officeDocument/2006/custom-properties" xmlns:vt="http://schemas.openxmlformats.org/officeDocument/2006/docPropsVTypes"/>
</file>