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Financial Summary</w:t>
      </w:r>
    </w:p>
    <w:p>
      <w:r>
        <w:t>Revenue for the fourth quarter reached significant growth across all regions, driven primarily by the widget division's expansion into new markets.</w:t>
      </w:r>
    </w:p>
    <w:p>
      <w:r>
        <w:t>Operating costs remained flat year over year despite the increased production volume.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