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Week 6 Deliverable Report:</w:t>
        <w:br/>
        <w:t>Reflective Analysis and Improved Draft Submission</w:t>
      </w:r>
    </w:p>
    <w:p>
      <w:pPr>
        <w:jc w:val="center"/>
      </w:pPr>
      <w:r>
        <w:rPr>
          <w:rFonts w:ascii="Calibri" w:hAnsi="Calibri"/>
          <w:i/>
          <w:sz w:val="24"/>
        </w:rPr>
        <w:t>YUVA INTERN — Medical Writing Internship in Kochi</w:t>
        <w:br/>
        <w:t>Final Capstone Submission</w:t>
      </w:r>
    </w:p>
    <w:p/>
    <w:p>
      <w:pPr>
        <w:pStyle w:val="Heading1"/>
      </w:pPr>
      <w:r>
        <w:t>Part 1: Reflective Analysis of the Medical Writing Internship Journey</w:t>
      </w:r>
    </w:p>
    <w:p>
      <w:pPr>
        <w:pStyle w:val="Heading2"/>
      </w:pPr>
      <w:r>
        <w:t>1.1 Introduction and Overview of the Internship Experience</w:t>
      </w:r>
    </w:p>
    <w:p>
      <w:r>
        <w:t>The Medical Writing Internship at YUVA Intern in Kochi has provided an intensive, transformative immersion into the professional landscape of biomedical and regulatory communication. Over the course of six distinct weekly modules, I transitioned from synthesizing complex oncological literature to authoring patient education brochures, drafting rigorous clinical trial protocol summaries, writing authoritative scientific editorials, and compiling structured clinical study report (CSR) sections. This reflective analysis critically examines my developmental trajectory, evaluates the strengths and weaknesses of my past submissions, details the challenges encountered, and outlines the core lessons learned that will guide my future career as a professional medical writer.</w:t>
      </w:r>
    </w:p>
    <w:p>
      <w:pPr>
        <w:pStyle w:val="Heading2"/>
      </w:pPr>
      <w:r>
        <w:t>1.2 Self-Assessment of Past Submissions and Methodological Evolution</w:t>
      </w:r>
    </w:p>
    <w:p>
      <w:r>
        <w:t>A rigorous retrospective audit of my weekly deliverables reveals a distinct evolution in my writing proficiency, technical vocabulary, and document structuring. In Week 1 (Medical Literature Review), my primary focus was on capturing broad clinical themes and compiling reputable AMA-style references. While the scientific content was comprehensive, subsequent self-assessments revealed minor structural fragmentation in how transitional paragraphs bridged complex immunological mechanisms with clinical outcomes. By Week 3 (Regulatory Document Drafting) and Week 5 (Clinical Study Report Drafting), my capacity for precision improved significantly. I learned to adopt rigorous regulatory phrasing, align documents with ICH GCP and ICH E3 guidelines, and articulate intricate statistical methodologies—such as stratified Cox proportional hazards models and Kaplan-Meier power calculations—with absolute clarity.</w:t>
      </w:r>
    </w:p>
    <w:p>
      <w:pPr>
        <w:pStyle w:val="Heading2"/>
      </w:pPr>
      <w:r>
        <w:t>1.3 Challenges Encountered and Problem-Solving Strategies</w:t>
      </w:r>
    </w:p>
    <w:p>
      <w:r>
        <w:t>Navigating diverse medical writing genres presented unique hurdles. The primary challenge across preclinical and clinical projects was striking the delicate balance between technical exhaustiveness and audience-appropriate readability. For instance, in Week 2 (Patient Education Brochure), translating intricate endocrinological concepts of insulin resistance and glucose uptake into empathetic, accessible language for a lay audience required a complete mindset shift from the rigid, formal syntax required in Week 3's regulatory protocol drafting. To overcome this, I developed a structured outlining framework prior to drafting, ensuring that tone, vocabulary, and structural formatting were meticulously tailored to the specific target readership—whether patients, institutional review boards, or journal peer reviewers.</w:t>
      </w:r>
    </w:p>
    <w:p>
      <w:pPr>
        <w:pStyle w:val="Heading2"/>
      </w:pPr>
      <w:r>
        <w:t>1.4 Synthesis of Feedback and Professional Growth</w:t>
      </w:r>
    </w:p>
    <w:p>
      <w:r>
        <w:t>Engaging in continuous self-review and peer critique highlighted the vital importance of document hierarchy, visual readability, and terminological consistency. I discovered that even the most scientifically sound medical text loses efficacy if subheadings lack logical progression or if statistical assumptions are vaguely defined. Throughout this internship, I actively refined my editing checklist to include rigorous checks for passive voice reduction, acronym definition upon first use, citation accuracy, and adherence to international style guides. These iterative improvements directly culminated in the enhanced, highly polished revised draft presented in Part 2 of this report.</w:t>
      </w:r>
    </w:p>
    <w:p>
      <w:pPr>
        <w:pStyle w:val="Heading2"/>
      </w:pPr>
      <w:r>
        <w:t>1.5 Conclusion and Future Career Outlook</w:t>
      </w:r>
    </w:p>
    <w:p>
      <w:r>
        <w:t>In summary, the YUVA Intern Medical Writing Internship has successfully equipped me with the practical competencies, regulatory awareness, and editorial precision demanded in modern healthcare communications. The challenges surmounted over the past six weeks have fostered not only technical adaptability but also a deep appreciation for ethical medical storytelling. Armed with this robust portfolio, I am exceptionally well-prepared to contribute meaningfully to clinical research organizations, pharmaceutical communications, and biomedical publishing.</w:t>
      </w:r>
    </w:p>
    <w:p>
      <w:r>
        <w:br w:type="page"/>
      </w:r>
    </w:p>
    <w:p>
      <w:pPr>
        <w:pStyle w:val="Heading1"/>
      </w:pPr>
      <w:r>
        <w:t>Part 2: Improved and Expanded Draft Submission</w:t>
        <w:br/>
        <w:t>(Revised Literature Review: Immunotherapy in NSCLC)</w:t>
      </w:r>
    </w:p>
    <w:p>
      <w:pPr>
        <w:pStyle w:val="Heading2"/>
      </w:pPr>
      <w:r>
        <w:t>2.1 Introduction and Epidemiological Context</w:t>
      </w:r>
    </w:p>
    <w:p>
      <w:r>
        <w:t>Lung cancer remains the preeminent cause of cancer-related mortality worldwide, responsible for nearly 1.8 million deaths annually. Non-small cell lung cancer (NSCLC) accounts for approximately 85% of all primary lung malignancies, with the majority of patients presenting with locally advanced or metastatic disease at initial diagnosis. Historically, the therapeutic armamentarium for metastatic NSCLC without actionable oncogenic driver mutations (such as EGFR, ALK, or ROS1 alterations) relied exclusively on platinum-based doublet chemotherapy. While these cytotoxic regimens offered modest palliative benefits, overall survival (OS) was severely limited, with a five-year survival rate remaining stubbornly below 15%.</w:t>
      </w:r>
    </w:p>
    <w:p>
      <w:r>
        <w:t>Over the past decade, the oncological landscape has experienced a paradigm shift driven by the clinical integration of immune checkpoint inhibitors (ICIs). By targeting immunosuppressive pathways—specifically programmed cell death protein 1 (PD-1), its ligand (PD-L1), and cytotoxic T-lymphocyte-associated protein 4 (CTLA-4)—these biologic therapies have re-engaged host adaptive immunity to achieve durable, long-term disease control in a subset of patients. This revised and expanded literature review synthesizes recent clinical advancements (2021–2026), examining chemo-immunotherapy synergies, predictive biomarker refinement, mechanisms of resistance, and emerging next-generation combinatorial modalities.</w:t>
      </w:r>
    </w:p>
    <w:p>
      <w:pPr>
        <w:pStyle w:val="Heading2"/>
      </w:pPr>
      <w:r>
        <w:t>2.2 Evolution of Immune Checkpoint Blockade: From Monotherapy to Combination Paradigms</w:t>
      </w:r>
    </w:p>
    <w:p>
      <w:r>
        <w:t>The initial wave of immunotherapy clinical trials established single-agent PD-1/PD-L1 inhibitors (such as pembrolizumab, nivolumab, and atezolizumab) as superior alternatives to chemotherapy in treatment-naive patients exhibiting high PD-L1 expression (tumor proportion score [TPS] &gt;=50%). Landmark trials such as KEYNOTE-024 demonstrated durable survival advantages, proving that immune restoration could outperform conventional cytotoxic destruction in biomarker-selected populations.</w:t>
      </w:r>
    </w:p>
    <w:p>
      <w:r>
        <w:t>However, for patients with low or negative PD-L1 expression, single-agent immunotherapy yields insufficient response rates. This clinical imperative catalyzed the development of chemo-immunotherapy combination regimens. Clinical trials including KEYNOTE-189 and KEYNOTE-407 proved that combining anti-PD-1 monoclonal antibodies with platinum-based chemotherapy induces immunogenic cell death, releasing tumor neoantigens and upregulating inflammatory cytokine cascades within the tumor microenvironment (TME). Furthermore, dual checkpoint blockade combining anti-PD-1 with anti-CTLA-4 antibodies (e.g., CheckMate 9LA) has demonstrated sustained long-term survival tails, establishing rational combination therapy as the global standard of care for metastatic NSCLC.</w:t>
      </w:r>
    </w:p>
    <w:p>
      <w:pPr>
        <w:pStyle w:val="Heading2"/>
      </w:pPr>
      <w:r>
        <w:t>2.3 Refining Predictive Biomarkers and Patient Selection</w:t>
      </w:r>
    </w:p>
    <w:p>
      <w:r>
        <w:t>Despite significant clinical progress, primary resistance and variable response durations underscore the critical need for robust predictive biomarkers beyond standard immunohistochemical PD-L1 scoring. PD-L1 TPS remains the primary clinical triage tool, yet its predictive utility is constrained by spatial intra-tumoral heterogeneity and dynamic temporal fluctuations across metastatic sites.</w:t>
      </w:r>
    </w:p>
    <w:p>
      <w:r>
        <w:t>To overcome these limitations, recent research emphasizes multi-omic composite biomarkers. Tumor mutational burden (TMB), measured via comprehensive genomic profiling, correlates strongly with neoantigen load and enhanced T-cell recognition. Blood-based TMB (bTMB) has emerged as a non-invasive surrogate when tissue biopsy specimens are inadequate. Additionally, characterizing the tumor microenvironment through CD8+ tumor-infiltrating lymphocyte (TIL) density, interferon-gamma (IFN-γ) gene expression signatures, and tertiary lymphoid structure (TLS) formation provides granular insights into 'hot' versus 'cold' immune phenotypes.</w:t>
      </w:r>
    </w:p>
    <w:p>
      <w:pPr>
        <w:pStyle w:val="Heading2"/>
      </w:pPr>
      <w:r>
        <w:t>2.4 Overcoming Resistance: Next-Generation Immunotherapeutic Strategies</w:t>
      </w:r>
    </w:p>
    <w:p>
      <w:r>
        <w:t>Acquired and adaptive resistance mechanisms—such as the upregulation of alternative immune checkpoints (e.g., TIGIT, LAG-3, TIM-3), loss of human leukocyte antigen (HLA) class I presentation, and accumulation of immunosuppressive myeloid-derived suppressor cells (MDSCs)—pose formidable barriers to long-term remission. Current clinical investigations focus intensely on next-generation combination strategies:</w:t>
      </w:r>
    </w:p>
    <w:p>
      <w:r>
        <w:t>• Alternative Checkpoint Inhibition: Inhibiting coinhibitory receptors like TIGIT (T-cell immunoreceptor with Ig and ITIM domains) alongside PD-1 blockade has shown synergistic rejuvenation of exhausted effector T cells in phase III trials.</w:t>
        <w:br/>
        <w:t>• Antibody-Drug Conjugates (ADCs): Conjugating cytotoxic payloads to tumor-targeted monoclonal antibodies (e.g., fam-trastuzumab deruxtecan) delivers localized cytotoxicity while simultaneously promoting immunogenic cell death and secondary immune priming.</w:t>
        <w:br/>
        <w:t>• Bispecific Antibodies: Dual-targeting constructs, such as ivonescimab (anti-PD-1/VEGF bispecific), simultaneously neutralize immune evasion and aberrant tumor angiogenesis, exhibiting superior progression-free survival compared to single-agent PD-1 blockade.</w:t>
      </w:r>
    </w:p>
    <w:p>
      <w:pPr>
        <w:pStyle w:val="Heading2"/>
      </w:pPr>
      <w:r>
        <w:t>2.5 Clinical Challenges, Toxicities, and Future Directions</w:t>
      </w:r>
    </w:p>
    <w:p>
      <w:r>
        <w:t>The widespread adoption of immunotherapy has brought immune-related adverse events (irAEs) to the forefront of clinical management. Systemic T-cell activation frequently precipitates autoimmune toxicities affecting the pulmonary, gastrointestinal, dermatological, and endocrine systems. Managing severe or steroid-refractory irAEs requires multidisciplinary vigilance and strict adherence to established toxicology guidelines to prevent fatal outcomes.</w:t>
      </w:r>
    </w:p>
    <w:p>
      <w:r>
        <w:t>Looking forward, the integration of artificial intelligence-driven predictive algorithms, liquid biopsy ctDNA monitoring, and personalized neoantigen vaccines will further refine precision oncology. Comprehensive synthesis of current literature confirms that ongoing biomarker refinement and patient-centered research are paramount to surmounting resistance and maximizing therapeutic indices.</w:t>
      </w:r>
    </w:p>
    <w:p>
      <w:pPr>
        <w:pStyle w:val="Heading2"/>
      </w:pPr>
      <w:r>
        <w:t>2.6 References</w:t>
      </w:r>
    </w:p>
    <w:p>
      <w:pPr>
        <w:spacing w:after="80"/>
      </w:pPr>
      <w:r>
        <w:t>1. Siegel RL, Giaquinto AN, Jemal A. Cancer statistics, 2024. CA Cancer J Clin. 2024;74(1):12-49.</w:t>
      </w:r>
    </w:p>
    <w:p>
      <w:pPr>
        <w:spacing w:after="80"/>
      </w:pPr>
      <w:r>
        <w:t>2. Herbst RS, Morgensztern D, Boshoff C. The biology and management of non-small cell lung cancer. Nature. 2018;553(7689):446-454.</w:t>
      </w:r>
    </w:p>
    <w:p>
      <w:pPr>
        <w:spacing w:after="80"/>
      </w:pPr>
      <w:r>
        <w:t>3. Reck M, Rodriguez-Abreu D, Robinson AG, et al. Pembrolizumab versus chemotherapy for PD-L1-positive non-small-cell lung cancer. N Engl J Med. 2016;375(19):1823-1833.</w:t>
      </w:r>
    </w:p>
    <w:p>
      <w:pPr>
        <w:spacing w:after="80"/>
      </w:pPr>
      <w:r>
        <w:t>4. Gandhi L, Rodríguez-Abreu D, Gadgeel S, et al. Pembrolizumab plus chemotherapy in metastatic non-small-cell lung cancer. N Engl J Med. 2018;378(22):2078-2092.</w:t>
      </w:r>
    </w:p>
    <w:p>
      <w:pPr>
        <w:spacing w:after="80"/>
      </w:pPr>
      <w:r>
        <w:t>5. Paz-Ares L, Ciuleanu TE, Cobo M, et al. First-line nivolumab plus ipilimumab combined with two cycles of chemotherapy in patients with non-small-cell lung cancer (CheckMate 9LA): an international, randomised, open-label, phase 3 trial. Lancet Oncol. 2021;22(2):198-211.</w:t>
      </w:r>
    </w:p>
    <w:p>
      <w:pPr>
        <w:spacing w:after="80"/>
      </w:pPr>
      <w:r>
        <w:t>6. Brody R, Zhang Y, Ballas M, et al. PD-L1 expression in advanced NSCLC: Insights into staining variability and clinical implications. J Thorac Oncol. 2017;12(11):1546-1564.</w:t>
      </w:r>
    </w:p>
    <w:p>
      <w:pPr>
        <w:spacing w:after="80"/>
      </w:pPr>
      <w:r>
        <w:t>7. Gandara DR, Paul SM, Kowanetz M, et al. Blood-based tumor mutational burden as a predictor of clinical benefit in non-small-cell lung cancer patients treated with atezolizumab. Nat Med. 2018;24(9):1441-1448.</w:t>
      </w:r>
    </w:p>
    <w:p>
      <w:pPr>
        <w:spacing w:after="80"/>
      </w:pPr>
      <w:r>
        <w:t>8. Topalian SL, Taube JM, Pardoll DM. Neoadjuvant checkpoint blockade for cancer clinical trials and translational insights. Nat Med. 2020;26(10):1564-1577.</w:t>
      </w:r>
    </w:p>
    <w:p>
      <w:pPr>
        <w:spacing w:after="80"/>
      </w:pPr>
      <w:r>
        <w:t>9. Hellmann MD, Paz-Ares L, Bernabe Caro R, et al. Nivolumab plus ipilimumab in advanced non-small-cell lung cancer. N Engl J Med. 2019;381(21):2020-2031.</w:t>
      </w:r>
    </w:p>
    <w:p>
      <w:pPr>
        <w:spacing w:after="80"/>
      </w:pPr>
      <w:r>
        <w:t>10. Brahmer JR, Lacchetti C, Schneider BJ, et al. Management of immune-related adverse events in patients treated with immune checkpoint inhibitor therapy: American Society of Clinical Oncology Clinical Practice Guideline. J Clin Oncol. 2018;36(17):1714-1721.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