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Clinical Trial Protocol Summary:</w:t>
        <w:br/>
        <w:t>A Phase III, Randomized, Double-Blind, Placebo-Controlled Study Evaluating the Efficacy and Safety of Novel Immunotherapy Combinations in Advanced NSCLC</w:t>
      </w:r>
    </w:p>
    <w:p>
      <w:pPr>
        <w:jc w:val="center"/>
      </w:pPr>
      <w:r>
        <w:rPr>
          <w:rFonts w:ascii="Calibri" w:hAnsi="Calibri"/>
          <w:i/>
          <w:sz w:val="24"/>
        </w:rPr>
        <w:t>YUVA INTERN — Medical Writing Internship in Kochi</w:t>
        <w:br/>
        <w:t>Week 3 Deliverable Report: Regulatory Document Drafting</w:t>
      </w:r>
    </w:p>
    <w:p/>
    <w:p>
      <w:pPr>
        <w:pStyle w:val="Heading1"/>
      </w:pPr>
      <w:r>
        <w:t>1. Introduction and Scientific Background</w:t>
      </w:r>
    </w:p>
    <w:p>
      <w:r>
        <w:t>Non-small cell lung cancer (NSCLC) accounts for approximately 85% of all lung cancer diagnoses globally and remains a leading cause of cancer-related mortality. While the integration of immune checkpoint inhibitors (ICIs) targeting the programmed cell death protein 1 (PD-1) and its ligand (PD-L1) has significantly improved survival outcomes, a substantial proportion of patients either present with primary resistance or eventually develop acquired resistance. This clinical trial protocol summary outlines a robust, multicenter Phase III study designed to evaluate the synergistic efficacy and safety profile of combining a novel anti-TIGIT monoclonal antibody with standard anti-PD-1 immunotherapy and platinum-based doublet chemotherapy in previously untreated metastatic nonsquamous NSCLC.</w:t>
      </w:r>
    </w:p>
    <w:p>
      <w:r>
        <w:t>Regulatory compliance and adherence to International Council for Harmonisation (ICH) Good Clinical Practice (GCP) guidelines are foundational to the design, execution, and reporting of this clinical investigation. This protocol establishes rigorous standards for patient safety, data integrity, and ethical oversight across all participating global clinical trial sites.</w:t>
      </w:r>
    </w:p>
    <w:p>
      <w:pPr>
        <w:pStyle w:val="Heading1"/>
      </w:pPr>
      <w:r>
        <w:t>2. Study Objectives and Endpoints</w:t>
      </w:r>
    </w:p>
    <w:p>
      <w:r>
        <w:t>The primary objective of this clinical trial is to demonstrate superior clinical efficacy of the investigational combination regimen compared to standard-of-care chemo-immunotherapy in treatment-naive patients with advanced metastatic NSCLC.</w:t>
      </w:r>
    </w:p>
    <w:p>
      <w:r>
        <w:t>• Primary Endpoint: Progression-Free Survival (PFS) as assessed by a blinded independent central review (BICR) per RECIST v1.1, alongside Overall Survival (OS) in the intention-to-treat (ITT) population.</w:t>
        <w:br/>
        <w:t>• Secondary Objectives: Evaluation of Objective Response Rate (ORR), Duration of Response (DOR), Disease Control Rate (DCR), and patient-reported outcomes (PROs) measured via standardized quality-of-life questionnaires (EORTC QLQ-C30 and LC13).</w:t>
        <w:br/>
        <w:t>• Exploratory Objectives: Biomarker analyses assessing tumor mutational burden (TMB), baseline PD-L1 immunohistochemistry expression scores, circulating tumor DNA (ctDNA) dynamics, and immune cell profiling within the tumor microenvironment.</w:t>
      </w:r>
    </w:p>
    <w:p>
      <w:pPr>
        <w:pStyle w:val="Heading1"/>
      </w:pPr>
      <w:r>
        <w:t>3. Methodology and Trial Design</w:t>
      </w:r>
    </w:p>
    <w:p>
      <w:r>
        <w:t>This study is designed as a randomized, double-blind, placebo-controlled, international, multi-center Phase III clinical trial. Approximately 750 eligible patients will be randomized in a 1:1 ratio into two distinct treatment arms:</w:t>
      </w:r>
    </w:p>
    <w:p>
      <w:r>
        <w:t>• Experimental Arm: Investigational anti-TIGIT monoclonal antibody administered intravenously in combination with pembrolizumab and investigator's choice of platinum-based chemotherapy (carboplatin/pemetrexed) every 3 weeks for 4 induction cycles, followed by maintenance therapy with anti-TIGIT, pembrolizumab, and pemetrexed.</w:t>
        <w:br/>
        <w:t>• Control Arm: Matching placebo administered alongside pembrolizumab and identical platinum-based chemotherapy induction cycles, followed by maintenance placebo, pembrolizumab, and pemetrexed.</w:t>
      </w:r>
    </w:p>
    <w:p>
      <w:r>
        <w:t>Patient Recruitment and Screening: Inclusion criteria mandate histologically confirmed stage IV nonsquamous NSCLC without actionable EGFR, ALK, or ROS1 alterations, measurable disease per RECIST v1.1, and an ECOG performance status of 0 or 1. Comprehensive exclusion criteria rule out active autoimmune disease requiring systemic immunosuppression, untreated central nervous system metastases, and prior exposure to immune checkpoint inhibitors.</w:t>
      </w:r>
    </w:p>
    <w:p>
      <w:pPr>
        <w:pStyle w:val="Heading1"/>
      </w:pPr>
      <w:r>
        <w:t>4. Regulatory and Ethical Considerations</w:t>
      </w:r>
    </w:p>
    <w:p>
      <w:r>
        <w:t>The clinical trial will be conducted in strict compliance with the ethical principles originating in the Declaration of Helsinki, ICH GCP E6(R2) guidelines, and applicable national and international regulatory requirements (including US FDA and EMA standards).</w:t>
      </w:r>
    </w:p>
    <w:p>
      <w:r>
        <w:t>• Informed Consent: Prior to initiating any trial-related procedures, written informed consent must be obtained from every participant or their legally authorized representative using an institutional review board (IRB) or independent ethics committee (IEC) approved document.</w:t>
        <w:br/>
        <w:t>• Participant Safety and Monitoring: An independent Data Monitoring Committee (DMC) will periodically review unblinded safety data across all arms to evaluate risk-benefit ratios and recommend protocol modifications or trial discontinuation if safety signals arise.</w:t>
        <w:br/>
        <w:t>• Adverse Event Reporting: All adverse events (AEs) and serious adverse events (SAEs), particularly immune-related adverse events (irAEs), will be systematically documented, graded according to CTCAE v5.0, and reported expeditiously to regulatory authorities.</w:t>
      </w:r>
    </w:p>
    <w:p>
      <w:pPr>
        <w:pStyle w:val="Heading1"/>
      </w:pPr>
      <w:r>
        <w:t>5. Data Management and Statistical Analysis Plan</w:t>
      </w:r>
    </w:p>
    <w:p>
      <w:r>
        <w:t>Data collection will be executed via secure electronic data capture (EDC) systems adhering to 21 CFR Part 11 compliance standards. Clinical data management teams will conduct regular audit trails, discrepancy management, and data validation checks to ensure absolute accuracy.</w:t>
      </w:r>
    </w:p>
    <w:p>
      <w:r>
        <w:t>The statistical analysis plan (SAP) dictates that sample size calculations provide 90% power to detect a hazard ratio of 0.72 for PFS at a two-sided alpha level of 0.025. Kaplan-Meier methodology will be utilized to estimate time-to-event endpoints, and stratified Cox proportional hazards models will account for confounding baseline covariates such as PD-L1 expression levels and smoking history.</w:t>
      </w:r>
    </w:p>
    <w:p>
      <w:pPr>
        <w:pStyle w:val="Heading1"/>
      </w:pPr>
      <w:r>
        <w:t>6. Conclusion</w:t>
      </w:r>
    </w:p>
    <w:p>
      <w:r>
        <w:t>This clinical trial protocol summary establishes a rigorous, ethically sound, and scientifically rigorous framework for evaluating next-generation immunotherapy combinations in advanced NSCLC. By strictly adhering to international regulatory standards, robust study methodologies, and patient-centric safety frameworks, the proposed investigation aims to generate high-integrity clinical data capable of supporting future regulatory submissions and expanding therapeutic options for oncology patients worldwide.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