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Clinical Study Report (CSR) Sections:</w:t>
        <w:br/>
        <w:t>Detailed Methodology, Statistical Analysis, and Discussion of Results for a Phase III Trial in Advanced NSCLC</w:t>
      </w:r>
    </w:p>
    <w:p>
      <w:pPr>
        <w:jc w:val="center"/>
      </w:pPr>
      <w:r>
        <w:rPr>
          <w:rFonts w:ascii="Calibri" w:hAnsi="Calibri"/>
          <w:i/>
          <w:sz w:val="24"/>
        </w:rPr>
        <w:t>YUVA INTERN — Medical Writing Internship in Kochi</w:t>
        <w:br/>
        <w:t>Week 5 Deliverable Report: Clinical Study Report (CSR) Drafting</w:t>
      </w:r>
    </w:p>
    <w:p/>
    <w:p>
      <w:pPr>
        <w:pStyle w:val="Heading1"/>
      </w:pPr>
      <w:r>
        <w:t>1. Introduction and Trial Context</w:t>
      </w:r>
    </w:p>
    <w:p>
      <w:r>
        <w:t>This Clinical Study Report (CSR) section synthesizes the methodological framework, statistical analysis plan, and comprehensive discussion of findings for a pivotal international, multicenter Phase III trial evaluating novel immunotherapy combinations in advanced non-small cell lung cancer (NSCLC). As regulatory medical writing requires meticulous transparency and scientific rigor, this document details how patient cohorts were selected, how data was statistically modeled, and how clinical outcomes are interpreted in the context of current oncological practice.</w:t>
      </w:r>
    </w:p>
    <w:p>
      <w:pPr>
        <w:pStyle w:val="Heading1"/>
      </w:pPr>
      <w:r>
        <w:t>2. Detailed Methodology</w:t>
      </w:r>
    </w:p>
    <w:p>
      <w:r>
        <w:t>2.1 Study Design and Control Methods:</w:t>
        <w:br/>
        <w:t>The trial was executed as a randomized, double-blind, placebo-controlled, parallel-group multicenter study across 120 global clinical sites. Patients were randomized in a 1:1 ratio utilizing an interactive web response system (IWRS) stratified by PD-L1 tumor proportion score (&lt;1% vs. 1-49% vs. &gt;=50%), geographic region, and histology (nonsquamous vs. squamous). To preserve blinding integrity, matching placebos were manufactured with identical visual, olfactory, and pharmacokinetic packaging profiles to the investigational anti-TIGIT agent.</w:t>
      </w:r>
    </w:p>
    <w:p>
      <w:r>
        <w:t>2.2 Participant Selection and Eligibility Criteria:</w:t>
        <w:br/>
        <w:t>Eligible participants comprised adult patients aged 18 years or older with histologically confirmed stage IV NSCLC who had received no prior systemic therapy for metastatic disease. Key inclusion criteria mandated an Eastern Cooperative Oncology Group (ECOG) performance status of 0 or 1, adequate organ function, and measurable disease defined by Response Evaluation Criteria in Solid Tumors (RECIST) version 1.1. Patients harboring actionable EGFR mutations or ALK translocations were excluded, as were individuals with active autoimmune diseases requiring systemic immunosuppression or untreated central nervous system metastases.</w:t>
      </w:r>
    </w:p>
    <w:p>
      <w:r>
        <w:t>2.3 Risk Management and Safety Monitoring:</w:t>
        <w:br/>
        <w:t>A comprehensive risk management plan (RMP) was implemented to monitor immune-related adverse events (irAEs). Investigators underwent standardized training on early recognition and algorithmic management of pneumonitis, colitis, hepatitis, and endocrinopathies. An independent Data Monitoring Committee (DMC) conducted unblinded safety reviews at predefined patient accrual intervals.</w:t>
      </w:r>
    </w:p>
    <w:p>
      <w:pPr>
        <w:pStyle w:val="Heading1"/>
      </w:pPr>
      <w:r>
        <w:t>3. Statistical Analysis Plan (SAP)</w:t>
      </w:r>
    </w:p>
    <w:p>
      <w:r>
        <w:t>3.1 Sample Size Calculation and Power:</w:t>
        <w:br/>
        <w:t>The study was designed to detect a statistically significant improvement in Progression-Free Survival (PFS) assessed by blinded independent central review (BICR). Assuming a hazard ratio (HR) of 0.72 favoring the experimental combination arm over the control arm, a total sample size of 750 patients (375 per arm) was calculated to provide 90% statistical power at a two-sided alpha level of 0.025, accounting for an anticipated 10% dropout rate over a 36-month recruitment and follow-up window.</w:t>
      </w:r>
    </w:p>
    <w:p>
      <w:r>
        <w:t>3.2 Statistical Models and Handling of Missing Data:</w:t>
        <w:br/>
        <w:t>The primary efficacy endpoint (PFS) and key secondary endpoint (Overall Survival, OS) were analyzed using a stratified Cox proportional hazards model. Kaplan-Meier methodology was employed to estimate median survival times, 95% confidence intervals, and survival curves. Multiplicity for primary and key secondary endpoints was controlled using a hierarchical testing procedure. Missing data resulting from premature discontinuation or lost-to-follow-up were treated as censored at the last evaluable tumor assessment date, adhering to intention-to-treat (ITT) principles.</w:t>
      </w:r>
    </w:p>
    <w:p>
      <w:pPr>
        <w:pStyle w:val="Heading1"/>
      </w:pPr>
      <w:r>
        <w:t>4. Discussion of Results and Clinical Implications</w:t>
      </w:r>
    </w:p>
    <w:p>
      <w:r>
        <w:t>4.1 Interpretation of Efficacy Outcomes:</w:t>
        <w:br/>
        <w:t>The trial successfully met its primary endpoint, demonstrating a statistically significant and clinically meaningful improvement in PFS (median 11.2 months vs. 6.8 months; HR 0.70; 95% CI: 0.61-0.81; p &lt; 0.001) in patients receiving the investigational combination compared to the control arm. This synergistic benefit underscores the rationale of dual checkpoint inhibition in overcoming primary resistance mechanisms inherent in advanced NSCLC tumor microenvironments.</w:t>
      </w:r>
    </w:p>
    <w:p>
      <w:r>
        <w:t>4.2 Safety Profile and Risk-Benefit Evaluation:</w:t>
        <w:br/>
        <w:t>The incidence of grade 3 or higher treatment-related adverse events was comparable between arms (28.4% vs. 25.1%), with immune-related toxicities effectively managed via established institutional corticosteroid algorithms. No unexpected safety signals were identified, confirming a favorable risk-benefit profile that supports regulatory filings.</w:t>
      </w:r>
    </w:p>
    <w:p>
      <w:r>
        <w:t>4.3 Study Limitations:</w:t>
        <w:br/>
        <w:t>Certain methodological limitations warrant consideration. First, despite global site representation, patient demographic representation in specific minority cohorts remained modest. Second, the open-label nature of biomarker exploratory sub-analyses introduces potential confounding variables that require validation in subsequent prospective trials.</w:t>
      </w:r>
    </w:p>
    <w:p>
      <w:pPr>
        <w:pStyle w:val="Heading1"/>
      </w:pPr>
      <w:r>
        <w:t>5. Conclusion</w:t>
      </w:r>
    </w:p>
    <w:p>
      <w:r>
        <w:t>In conclusion, the detailed methodology, robust statistical architecture, and positive clinical findings documented in this CSR section confirm the therapeutic efficacy and manageable safety profile of the investigational regimen. These results provide vital regulatory evidence to support global drug approvals and advance precision oncology care for metastatic NSCLC.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