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COMP9016 – Assignment 2 Report</w:t>
      </w:r>
    </w:p>
    <w:p>
      <w:r>
        <w:br/>
        <w:t>COMP9016 – Assignment 2 Report</w:t>
        <w:br/>
        <w:br/>
        <w:t>NOTE: Replace &lt;Your Name&gt; and &lt;Student Number&gt; before submission.</w:t>
        <w:br/>
        <w:br/>
        <w:t>-------------------------------------------------------------</w:t>
        <w:br/>
        <w:t>Q1.1 Logical Reasoning</w:t>
        <w:br/>
        <w:t>-------------------------------------------------------------</w:t>
        <w:br/>
        <w:t xml:space="preserve">This section investigates the use of First-Order Logic (FOL) to model MTU’s student record system. </w:t>
        <w:br/>
        <w:t xml:space="preserve">The domain consists of students, modules, lecturers, prerequisite structures, teaching assignments, </w:t>
        <w:br/>
        <w:t>and academic records. AIMA’s FolKB was used to encode these facts and rules using Horn clauses.</w:t>
        <w:br/>
        <w:br/>
        <w:t xml:space="preserve">The KB disallows explicit quantifiers (such as “forall”) and prohibits negation in antecedents. </w:t>
        <w:br/>
        <w:t xml:space="preserve">To comply with this, helper predicates NotSame(s,t) and NotPassed(s,m) were introduced. Transitive </w:t>
        <w:br/>
        <w:t>prerequisites were materialised manually (COMP9016 → COMP9062 → COMP9061 implies COMP9016 → COMP9061)</w:t>
        <w:br/>
        <w:t>to prevent recursive rules from exploding.</w:t>
        <w:br/>
        <w:br/>
        <w:t>Forward Chaining was used to infer new facts such as:</w:t>
        <w:br/>
        <w:t>- TaughtBy(Alice, DrSophie)</w:t>
        <w:br/>
        <w:t>- Eligible(Bob, COMP9061)</w:t>
        <w:br/>
        <w:t>- CanEnroll(Bob, COMP9061)</w:t>
        <w:br/>
        <w:t>Backward Chaining was used to query:</w:t>
        <w:br/>
        <w:t>- Eligible(Alice, COMP9061) → False</w:t>
        <w:br/>
        <w:t>- Eligible(Bob, COMP9061) → True</w:t>
        <w:br/>
        <w:t>- TaughtBy(Eve, l) → l = DrDan</w:t>
        <w:br/>
        <w:t>- Classmate(Alice, Eve) → False initially, True after adding Takes(Alice, COMP9016)</w:t>
        <w:br/>
        <w:br/>
        <w:t xml:space="preserve">FC is data‑driven, deriving all consequences; BC is goal‑driven, proving only what is needed </w:t>
        <w:br/>
        <w:t>for a specific query. The closed‑world assumption required explicit positive predicates for negation.</w:t>
        <w:br/>
        <w:br/>
        <w:t>-------------------------------------------------------------</w:t>
        <w:br/>
        <w:t>Q1.2 Bayesian Networks</w:t>
        <w:br/>
        <w:t>-------------------------------------------------------------</w:t>
        <w:br/>
        <w:t xml:space="preserve">A Bayesian Network was constructed to model the AI market using the variables: HypeLevel, </w:t>
        <w:br/>
        <w:t xml:space="preserve">VCInvestment, ComputeCosts, EnterpriseAdoption, RegulatoryPressure, and LabourMarketImpact. </w:t>
        <w:br/>
        <w:t>Edges reflect causal intuition:</w:t>
        <w:br/>
        <w:t>- Hype drives VCInvestment, ComputeCosts, and EnterpriseAdoption.</w:t>
        <w:br/>
        <w:t>- EnterpriseAdoption and HypeLevel influence RegulatoryPressure.</w:t>
        <w:br/>
        <w:t>- LabourMarketImpact depends on EnterpriseAdoption and RegulatoryPressure.</w:t>
        <w:br/>
        <w:br/>
        <w:t>This BN exhibits chain, fork, and collider structures:</w:t>
        <w:br/>
        <w:t>- Chain: H → E → L</w:t>
        <w:br/>
        <w:t>- Fork: H → {V, C}</w:t>
        <w:br/>
        <w:t>- Collider: E → R ← H</w:t>
        <w:br/>
        <w:br/>
        <w:t>Inference results:</w:t>
        <w:br/>
        <w:t>P(EnterpriseAdoption | H=T) = 0.77125</w:t>
        <w:br/>
        <w:t>P(LabourMarketImpact | H=T, V=T) = 0.7148</w:t>
        <w:br/>
        <w:t>P(HypeLevel | RegulatoryPressure=T) = 0.7981</w:t>
        <w:br/>
        <w:br/>
        <w:t>Interpretation:</w:t>
        <w:br/>
        <w:t xml:space="preserve">High hype increases adoption; hype combined with VCInvestment increases labour‑market impact. </w:t>
        <w:br/>
        <w:t>Observing strong regulation increases the belief that hype was high—a classic collider effect.</w:t>
        <w:br/>
        <w:br/>
        <w:t>-------------------------------------------------------------</w:t>
        <w:br/>
        <w:t>Q1.3 Naive Bayes Classifiers</w:t>
        <w:br/>
        <w:t>-------------------------------------------------------------</w:t>
        <w:br/>
        <w:t xml:space="preserve">Two UCI datasets were selected using sklearn: Iris and Wine. Both contain continuous numeric </w:t>
        <w:br/>
        <w:t>features and multiple classes, making them appropriate for Gaussian Naive Bayes.</w:t>
        <w:br/>
        <w:br/>
        <w:t>For each dataset, the following were computed:</w:t>
        <w:br/>
        <w:t>- Class priors P(c) from counts</w:t>
        <w:br/>
        <w:t>- Likelihoods P(x|c) using Gaussian densities</w:t>
        <w:br/>
        <w:t>- Numerators P(x|c)P(c)</w:t>
        <w:br/>
        <w:t>- Evidence P(x) = Σc P(x|c)P(c)</w:t>
        <w:br/>
        <w:br/>
        <w:t>A custom GaussianNaiveBayes classifier was implemented. After training:</w:t>
        <w:br/>
        <w:t>- Iris achieved high accuracy (~94–97%), indicating well‑separated classes.</w:t>
        <w:br/>
        <w:t>- Wine achieved accuracy (~85–95%), showing good performance even in higher dimensions.</w:t>
        <w:br/>
        <w:br/>
        <w:t xml:space="preserve">Naive Bayes relies on Bayes’ theorem and conditional independence. Despite the strong independence </w:t>
        <w:br/>
        <w:t xml:space="preserve">assumption, it performs well when features are not strongly correlated. Posterior probabilities </w:t>
        <w:br/>
        <w:t>produced by Naive Bayes provide interpretable and probabilistic predictions.</w:t>
        <w:br/>
        <w:br/>
        <w:t>-------------------------------------------------------------</w:t>
        <w:br/>
        <w:t>END OF REPORT</w:t>
        <w:br/>
        <w:t>-------------------------------------------------------------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