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FEE Group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Import Fee Group</w:t>
      </w:r>
      <w:r>
        <w:rPr>
          <w:rFonts w:ascii="arial" w:hAnsi="arial"/>
          <w:sz w:val="18"/>
          <w:szCs w:val="18"/>
        </w:rPr>
        <w:t xml:space="preserve"> 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 is used to manage and categorize import-related fees, including </w:t>
      </w:r>
      <w:r>
        <w:rPr>
          <w:rStyle w:val="StrongEmphasis"/>
          <w:rFonts w:ascii="arial" w:hAnsi="arial"/>
          <w:sz w:val="18"/>
          <w:szCs w:val="18"/>
        </w:rPr>
        <w:t>fee group type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validity dates</w:t>
      </w:r>
      <w:r>
        <w:rPr>
          <w:rFonts w:ascii="arial" w:hAnsi="arial"/>
          <w:sz w:val="18"/>
          <w:szCs w:val="18"/>
        </w:rPr>
        <w:t>, and associated products. It helps track fees by group and ensure proper allocation.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possible only in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Active status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determines if the fee group is usable.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Fee Group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categorizes fees into predefined groups (e.g., </w:t>
      </w:r>
      <w:r>
        <w:rPr>
          <w:rStyle w:val="StrongEmphasis"/>
          <w:rFonts w:ascii="arial" w:hAnsi="arial"/>
          <w:sz w:val="18"/>
          <w:szCs w:val="18"/>
          <w:u w:val="none"/>
        </w:rPr>
        <w:t>Group 1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Group 2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Valid From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Valid To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specify the date range for fee applicability.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Verified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ensures the fee group configuration is validated.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Validate SKU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checks SKU-specific percentages for fee accuracy.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126</Words>
  <Characters>674</Characters>
  <CharactersWithSpaces>781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2024-12-17T11:48:13Z</dcterms:created>
  <dc:creator/>
  <dc:description/>
  <dc:language>en-IN</dc:language>
  <cp:lastModifiedBy/>
  <dcterms:modified xsi:type="dcterms:W3CDTF">2024-12-17T11:55:05Z</dcterms:modified>
  <cp:revision>1</cp:revision>
  <dc:subject/>
  <dc:title/>
</cp:coreProperties>
</file>