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Gift Product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sz w:val="18"/>
          <w:szCs w:val="18"/>
        </w:rPr>
        <w:t>Gift Product</w:t>
      </w:r>
      <w:r>
        <w:rPr>
          <w:rFonts w:ascii="arial" w:hAnsi="arial"/>
          <w:sz w:val="18"/>
          <w:szCs w:val="18"/>
        </w:rPr>
        <w:t xml:space="preserve"> in </w:t>
      </w:r>
      <w:r>
        <w:rPr>
          <w:rStyle w:val="StrongEmphasis"/>
          <w:rFonts w:ascii="arial" w:hAnsi="arial"/>
          <w:sz w:val="18"/>
          <w:szCs w:val="18"/>
        </w:rPr>
        <w:t>Compiere NGERP-Centra</w:t>
      </w:r>
      <w:r>
        <w:rPr>
          <w:rFonts w:ascii="arial" w:hAnsi="arial"/>
          <w:sz w:val="18"/>
          <w:szCs w:val="18"/>
        </w:rPr>
        <w:t xml:space="preserve"> refers to products designed for </w:t>
      </w:r>
      <w:r>
        <w:rPr>
          <w:rStyle w:val="StrongEmphasis"/>
          <w:rFonts w:ascii="arial" w:hAnsi="arial"/>
          <w:sz w:val="18"/>
          <w:szCs w:val="18"/>
        </w:rPr>
        <w:t>promotions</w:t>
      </w:r>
      <w:r>
        <w:rPr>
          <w:rFonts w:ascii="arial" w:hAnsi="arial"/>
          <w:sz w:val="18"/>
          <w:szCs w:val="18"/>
        </w:rPr>
        <w:t xml:space="preserve"> or </w:t>
      </w:r>
      <w:r>
        <w:rPr>
          <w:rStyle w:val="StrongEmphasis"/>
          <w:rFonts w:ascii="arial" w:hAnsi="arial"/>
          <w:sz w:val="18"/>
          <w:szCs w:val="18"/>
        </w:rPr>
        <w:t xml:space="preserve">gifting. </w:t>
      </w:r>
      <w:r>
        <w:rPr>
          <w:rFonts w:ascii="arial" w:hAnsi="arial"/>
          <w:sz w:val="18"/>
          <w:szCs w:val="18"/>
        </w:rPr>
        <w:t xml:space="preserve">They may include details such as </w:t>
      </w:r>
      <w:r>
        <w:rPr>
          <w:rStyle w:val="StrongEmphasis"/>
          <w:rFonts w:ascii="arial" w:hAnsi="arial"/>
          <w:sz w:val="18"/>
          <w:szCs w:val="18"/>
        </w:rPr>
        <w:t>Bill of Materials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discontinued status</w:t>
      </w:r>
      <w:r>
        <w:rPr>
          <w:rFonts w:ascii="arial" w:hAnsi="arial"/>
          <w:sz w:val="18"/>
          <w:szCs w:val="18"/>
        </w:rPr>
        <w:t xml:space="preserve">, and </w:t>
      </w:r>
      <w:r>
        <w:rPr>
          <w:rStyle w:val="StrongEmphasis"/>
          <w:rFonts w:ascii="arial" w:hAnsi="arial"/>
          <w:sz w:val="18"/>
          <w:szCs w:val="18"/>
        </w:rPr>
        <w:t>shelf life</w:t>
      </w:r>
      <w:r>
        <w:rPr>
          <w:rFonts w:ascii="arial" w:hAnsi="arial"/>
          <w:sz w:val="18"/>
          <w:szCs w:val="18"/>
        </w:rPr>
        <w:t xml:space="preserve">. These products are managed within specific </w:t>
      </w:r>
      <w:r>
        <w:rPr>
          <w:rStyle w:val="StrongEmphasis"/>
          <w:rFonts w:ascii="arial" w:hAnsi="arial"/>
          <w:sz w:val="18"/>
          <w:szCs w:val="18"/>
        </w:rPr>
        <w:t>product categories</w:t>
      </w:r>
      <w:r>
        <w:rPr>
          <w:rFonts w:ascii="arial" w:hAnsi="arial"/>
          <w:sz w:val="18"/>
          <w:szCs w:val="18"/>
        </w:rPr>
        <w:t xml:space="preserve"> with rules for </w:t>
      </w:r>
      <w:r>
        <w:rPr>
          <w:rStyle w:val="StrongEmphasis"/>
          <w:rFonts w:ascii="arial" w:hAnsi="arial"/>
          <w:sz w:val="18"/>
          <w:szCs w:val="18"/>
        </w:rPr>
        <w:t xml:space="preserve">inventory control </w:t>
      </w:r>
      <w:r>
        <w:rPr>
          <w:rFonts w:ascii="arial" w:hAnsi="arial"/>
          <w:sz w:val="18"/>
          <w:szCs w:val="18"/>
        </w:rPr>
        <w:t xml:space="preserve">and </w:t>
      </w:r>
      <w:r>
        <w:rPr>
          <w:rStyle w:val="StrongEmphasis"/>
          <w:rFonts w:ascii="arial" w:hAnsi="arial"/>
          <w:sz w:val="18"/>
          <w:szCs w:val="18"/>
        </w:rPr>
        <w:t>tracking</w:t>
      </w:r>
      <w:r>
        <w:rPr>
          <w:rFonts w:ascii="arial" w:hAnsi="arial"/>
          <w:sz w:val="18"/>
          <w:szCs w:val="18"/>
        </w:rPr>
        <w:t>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440690</wp:posOffset>
            </wp:positionH>
            <wp:positionV relativeFrom="paragraph">
              <wp:posOffset>107315</wp:posOffset>
            </wp:positionV>
            <wp:extent cx="5565775" cy="3923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94" t="0" r="10960" b="5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i w:val="false"/>
          <w:iCs w:val="false"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i w:val="false"/>
          <w:iCs w:val="false"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is possible only in </w:t>
      </w:r>
      <w:r>
        <w:rPr>
          <w:rFonts w:ascii="arial" w:hAnsi="arial"/>
          <w:b/>
          <w:bCs/>
          <w:i w:val="false"/>
          <w:iCs w:val="false"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Product Size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such as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Bottle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Package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, or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Sachet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defines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packaging options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for better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inventory control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.</w:t>
      </w:r>
    </w:p>
    <w:p>
      <w:pPr>
        <w:pStyle w:val="TextBody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Shelf Life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determines the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expiration period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, impacting product availability for sale and delivery.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Purchased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indicates whether the organization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buys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the product from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external vendors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or </w:t>
      </w:r>
      <w:r>
        <w:rPr>
          <w:rStyle w:val="StrongEmphasis"/>
          <w:rFonts w:ascii="arial" w:hAnsi="arial"/>
          <w:i w:val="false"/>
          <w:iCs w:val="false"/>
          <w:sz w:val="18"/>
          <w:szCs w:val="18"/>
          <w:u w:val="none"/>
        </w:rPr>
        <w:t>produces it in-house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124</Words>
  <Characters>719</Characters>
  <CharactersWithSpaces>827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2024-12-17T11:12:52Z</dcterms:created>
  <dc:creator/>
  <dc:description/>
  <dc:language>en-IN</dc:language>
  <cp:lastModifiedBy/>
  <dcterms:modified xsi:type="dcterms:W3CDTF">2024-12-17T14:44:57Z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