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rFonts w:ascii="arial" w:hAnsi="arial"/>
          <w:b/>
          <w:b/>
          <w:bCs/>
          <w:sz w:val="18"/>
          <w:szCs w:val="18"/>
          <w:u w:val="single"/>
        </w:rPr>
      </w:pPr>
      <w:r>
        <w:rPr>
          <w:rFonts w:ascii="arial" w:hAnsi="arial"/>
          <w:b/>
          <w:bCs/>
          <w:sz w:val="18"/>
          <w:szCs w:val="18"/>
          <w:u w:val="single"/>
        </w:rPr>
        <w:t>Functional Document</w:t>
      </w:r>
    </w:p>
    <w:p>
      <w:pPr>
        <w:pStyle w:val="Normal"/>
        <w:bidi w:val="0"/>
        <w:jc w:val="center"/>
        <w:rPr>
          <w:rFonts w:ascii="arial" w:hAnsi="arial"/>
          <w:b/>
          <w:b/>
          <w:bCs/>
          <w:sz w:val="18"/>
          <w:szCs w:val="18"/>
          <w:u w:val="single"/>
        </w:rPr>
      </w:pPr>
      <w:r>
        <w:rPr>
          <w:rFonts w:ascii="arial" w:hAnsi="arial"/>
          <w:b/>
          <w:bCs/>
          <w:sz w:val="18"/>
          <w:szCs w:val="18"/>
          <w:u w:val="single"/>
        </w:rPr>
      </w:r>
    </w:p>
    <w:tbl>
      <w:tblPr>
        <w:tblW w:w="5000" w:type="pct"/>
        <w:jc w:val="left"/>
        <w:tblInd w:w="0" w:type="dxa"/>
        <w:tblLayout w:type="fixed"/>
        <w:tblCellMar>
          <w:top w:w="0" w:type="dxa"/>
          <w:left w:w="0" w:type="dxa"/>
          <w:bottom w:w="0" w:type="dxa"/>
          <w:right w:w="0" w:type="dxa"/>
        </w:tblCellMar>
      </w:tblPr>
      <w:tblGrid>
        <w:gridCol w:w="4819"/>
        <w:gridCol w:w="4819"/>
      </w:tblGrid>
      <w:tr>
        <w:trPr/>
        <w:tc>
          <w:tcPr>
            <w:tcW w:w="4819" w:type="dxa"/>
            <w:tcBorders/>
          </w:tcPr>
          <w:p>
            <w:pPr>
              <w:pStyle w:val="TableContents"/>
              <w:bidi w:val="0"/>
              <w:jc w:val="left"/>
              <w:rPr>
                <w:rFonts w:ascii="arial" w:hAnsi="arial"/>
                <w:b/>
                <w:b/>
                <w:bCs/>
                <w:sz w:val="18"/>
                <w:szCs w:val="18"/>
              </w:rPr>
            </w:pPr>
            <w:r>
              <w:rPr>
                <w:rFonts w:ascii="arial" w:hAnsi="arial"/>
                <w:b/>
                <w:bCs/>
                <w:sz w:val="18"/>
                <w:szCs w:val="18"/>
              </w:rPr>
              <w:t>Application</w:t>
            </w:r>
          </w:p>
        </w:tc>
        <w:tc>
          <w:tcPr>
            <w:tcW w:w="4819" w:type="dxa"/>
            <w:tcBorders/>
          </w:tcPr>
          <w:p>
            <w:pPr>
              <w:pStyle w:val="TableContents"/>
              <w:bidi w:val="0"/>
              <w:jc w:val="left"/>
              <w:rPr>
                <w:rFonts w:ascii="arial" w:hAnsi="arial"/>
                <w:sz w:val="18"/>
                <w:szCs w:val="18"/>
              </w:rPr>
            </w:pPr>
            <w:r>
              <w:rPr>
                <w:rFonts w:ascii="arial" w:hAnsi="arial"/>
                <w:sz w:val="18"/>
                <w:szCs w:val="18"/>
              </w:rPr>
              <w:t xml:space="preserve"> </w:t>
            </w:r>
            <w:r>
              <w:rPr>
                <w:rFonts w:ascii="arial" w:hAnsi="arial"/>
                <w:sz w:val="18"/>
                <w:szCs w:val="18"/>
              </w:rPr>
              <w:t>NGERP – Centra</w:t>
            </w:r>
          </w:p>
        </w:tc>
      </w:tr>
      <w:tr>
        <w:trPr/>
        <w:tc>
          <w:tcPr>
            <w:tcW w:w="4819" w:type="dxa"/>
            <w:tcBorders/>
          </w:tcPr>
          <w:p>
            <w:pPr>
              <w:pStyle w:val="TableContents"/>
              <w:bidi w:val="0"/>
              <w:jc w:val="left"/>
              <w:rPr>
                <w:rFonts w:ascii="arial" w:hAnsi="arial"/>
                <w:b/>
                <w:b/>
                <w:bCs/>
                <w:sz w:val="18"/>
                <w:szCs w:val="18"/>
              </w:rPr>
            </w:pPr>
            <w:r>
              <w:rPr>
                <w:rFonts w:ascii="arial" w:hAnsi="arial"/>
                <w:b/>
                <w:bCs/>
                <w:sz w:val="18"/>
                <w:szCs w:val="18"/>
              </w:rPr>
              <w:t xml:space="preserve">Service Bundle </w:t>
            </w:r>
          </w:p>
        </w:tc>
        <w:tc>
          <w:tcPr>
            <w:tcW w:w="4819" w:type="dxa"/>
            <w:tcBorders/>
          </w:tcPr>
          <w:p>
            <w:pPr>
              <w:pStyle w:val="TableContents"/>
              <w:bidi w:val="0"/>
              <w:jc w:val="left"/>
              <w:rPr>
                <w:rFonts w:ascii="arial" w:hAnsi="arial"/>
                <w:sz w:val="18"/>
                <w:szCs w:val="18"/>
              </w:rPr>
            </w:pPr>
            <w:r>
              <w:rPr>
                <w:rFonts w:ascii="arial" w:hAnsi="arial"/>
                <w:sz w:val="18"/>
                <w:szCs w:val="18"/>
              </w:rPr>
              <w:t xml:space="preserve"> </w:t>
            </w:r>
            <w:r>
              <w:rPr>
                <w:rFonts w:ascii="arial" w:hAnsi="arial"/>
                <w:sz w:val="18"/>
                <w:szCs w:val="18"/>
              </w:rPr>
              <w:t>Integeration</w:t>
            </w:r>
          </w:p>
        </w:tc>
      </w:tr>
      <w:tr>
        <w:trPr/>
        <w:tc>
          <w:tcPr>
            <w:tcW w:w="4819" w:type="dxa"/>
            <w:tcBorders/>
          </w:tcPr>
          <w:p>
            <w:pPr>
              <w:pStyle w:val="TableContents"/>
              <w:bidi w:val="0"/>
              <w:jc w:val="left"/>
              <w:rPr>
                <w:rFonts w:ascii="arial" w:hAnsi="arial"/>
                <w:b/>
                <w:b/>
                <w:bCs/>
                <w:sz w:val="18"/>
                <w:szCs w:val="18"/>
              </w:rPr>
            </w:pPr>
            <w:r>
              <w:rPr>
                <w:rFonts w:ascii="arial" w:hAnsi="arial"/>
                <w:b/>
                <w:bCs/>
                <w:sz w:val="18"/>
                <w:szCs w:val="18"/>
              </w:rPr>
              <w:t>Service Request</w:t>
            </w:r>
          </w:p>
        </w:tc>
        <w:tc>
          <w:tcPr>
            <w:tcW w:w="4819" w:type="dxa"/>
            <w:tcBorders/>
          </w:tcPr>
          <w:p>
            <w:pPr>
              <w:pStyle w:val="TableContents"/>
              <w:bidi w:val="0"/>
              <w:jc w:val="left"/>
              <w:rPr>
                <w:rFonts w:ascii="arial" w:hAnsi="arial"/>
                <w:sz w:val="18"/>
                <w:szCs w:val="18"/>
              </w:rPr>
            </w:pPr>
            <w:r>
              <w:rPr>
                <w:rFonts w:ascii="arial" w:hAnsi="arial"/>
                <w:sz w:val="18"/>
                <w:szCs w:val="18"/>
              </w:rPr>
              <w:t xml:space="preserve"> </w:t>
            </w:r>
            <w:r>
              <w:rPr>
                <w:rFonts w:ascii="arial" w:hAnsi="arial"/>
                <w:sz w:val="18"/>
                <w:szCs w:val="18"/>
              </w:rPr>
              <w:t>Import Business Partner</w:t>
            </w:r>
          </w:p>
        </w:tc>
      </w:tr>
    </w:tbl>
    <w:p>
      <w:pPr>
        <w:pStyle w:val="Normal"/>
        <w:bidi w:val="0"/>
        <w:jc w:val="left"/>
        <w:rPr>
          <w:rFonts w:ascii="arial" w:hAnsi="arial"/>
          <w:b/>
          <w:b/>
          <w:bCs/>
          <w:sz w:val="18"/>
          <w:szCs w:val="18"/>
          <w:u w:val="single"/>
        </w:rPr>
      </w:pPr>
      <w:r>
        <w:rPr>
          <w:rFonts w:ascii="arial" w:hAnsi="arial"/>
          <w:b/>
          <w:bCs/>
          <w:sz w:val="18"/>
          <w:szCs w:val="18"/>
          <w:u w:val="single"/>
        </w:rPr>
      </w:r>
    </w:p>
    <w:p>
      <w:pPr>
        <w:pStyle w:val="Normal"/>
        <w:bidi w:val="0"/>
        <w:jc w:val="left"/>
        <w:rPr>
          <w:rFonts w:ascii="arial" w:hAnsi="arial"/>
          <w:b/>
          <w:b/>
          <w:bCs/>
          <w:sz w:val="18"/>
          <w:szCs w:val="18"/>
          <w:u w:val="single"/>
        </w:rPr>
      </w:pPr>
      <w:r>
        <w:rPr>
          <w:rFonts w:ascii="arial" w:hAnsi="arial"/>
          <w:b/>
          <w:bCs/>
          <w:sz w:val="18"/>
          <w:szCs w:val="18"/>
          <w:u w:val="single"/>
        </w:rPr>
      </w:r>
    </w:p>
    <w:p>
      <w:pPr>
        <w:pStyle w:val="Normal"/>
        <w:bidi w:val="0"/>
        <w:jc w:val="left"/>
        <w:rPr>
          <w:rFonts w:ascii="arial" w:hAnsi="arial"/>
          <w:b/>
          <w:b/>
          <w:bCs/>
          <w:sz w:val="18"/>
          <w:szCs w:val="18"/>
          <w:u w:val="single"/>
        </w:rPr>
      </w:pPr>
      <w:r>
        <w:rPr>
          <w:rFonts w:ascii="arial" w:hAnsi="arial"/>
          <w:b/>
          <w:bCs/>
          <w:sz w:val="18"/>
          <w:szCs w:val="18"/>
          <w:u w:val="single"/>
        </w:rPr>
        <w:t>Description:</w:t>
      </w:r>
    </w:p>
    <w:p>
      <w:pPr>
        <w:pStyle w:val="Normal"/>
        <w:bidi w:val="0"/>
        <w:jc w:val="left"/>
        <w:rPr>
          <w:rFonts w:ascii="arial" w:hAnsi="arial"/>
          <w:b/>
          <w:b/>
          <w:bCs/>
          <w:sz w:val="18"/>
          <w:szCs w:val="18"/>
          <w:u w:val="single"/>
        </w:rPr>
      </w:pPr>
      <w:r>
        <w:rPr>
          <w:rFonts w:ascii="arial" w:hAnsi="arial"/>
          <w:b/>
          <w:bCs/>
          <w:sz w:val="18"/>
          <w:szCs w:val="18"/>
          <w:u w:val="single"/>
        </w:rPr>
      </w:r>
    </w:p>
    <w:p>
      <w:pPr>
        <w:pStyle w:val="Normal"/>
        <w:bidi w:val="0"/>
        <w:jc w:val="left"/>
        <w:rPr/>
      </w:pPr>
      <w:r>
        <w:rPr>
          <w:rFonts w:ascii="arial" w:hAnsi="arial"/>
          <w:b w:val="false"/>
          <w:bCs w:val="false"/>
          <w:sz w:val="18"/>
          <w:szCs w:val="18"/>
          <w:u w:val="none"/>
        </w:rPr>
        <w:tab/>
      </w:r>
      <w:r>
        <w:rPr>
          <w:rFonts w:ascii="arial" w:hAnsi="arial"/>
          <w:sz w:val="18"/>
          <w:szCs w:val="18"/>
        </w:rPr>
        <w:t xml:space="preserve">In </w:t>
      </w:r>
      <w:r>
        <w:rPr>
          <w:rStyle w:val="StrongEmphasis"/>
          <w:rFonts w:ascii="arial" w:hAnsi="arial"/>
          <w:sz w:val="18"/>
          <w:szCs w:val="18"/>
        </w:rPr>
        <w:t>Compiere (NGERP - Centra)</w:t>
      </w:r>
      <w:r>
        <w:rPr>
          <w:rFonts w:ascii="arial" w:hAnsi="arial"/>
          <w:sz w:val="18"/>
          <w:szCs w:val="18"/>
        </w:rPr>
        <w:t xml:space="preserve">, the </w:t>
      </w:r>
      <w:r>
        <w:rPr>
          <w:rStyle w:val="StrongEmphasis"/>
          <w:rFonts w:ascii="arial" w:hAnsi="arial"/>
          <w:sz w:val="18"/>
          <w:szCs w:val="18"/>
        </w:rPr>
        <w:t>Import Business Partner Window</w:t>
      </w:r>
      <w:r>
        <w:rPr>
          <w:rFonts w:ascii="arial" w:hAnsi="arial"/>
          <w:sz w:val="18"/>
          <w:szCs w:val="18"/>
        </w:rPr>
        <w:t xml:space="preserve"> is designed to facilitate the import of business partner data into the system.  Once imported, business partner details can be viewed in the Manage Partner screen.</w:t>
      </w:r>
    </w:p>
    <w:p>
      <w:pPr>
        <w:pStyle w:val="Normal"/>
        <w:bidi w:val="0"/>
        <w:jc w:val="left"/>
        <w:rPr>
          <w:rFonts w:ascii="arial" w:hAnsi="arial"/>
          <w:b/>
          <w:b/>
          <w:bCs/>
          <w:sz w:val="18"/>
          <w:szCs w:val="18"/>
          <w:u w:val="single"/>
        </w:rPr>
      </w:pPr>
      <w:r>
        <w:rPr>
          <w:rFonts w:ascii="arial" w:hAnsi="arial"/>
          <w:b/>
          <w:bCs/>
          <w:sz w:val="18"/>
          <w:szCs w:val="18"/>
          <w:u w:val="single"/>
        </w:rPr>
      </w:r>
    </w:p>
    <w:p>
      <w:pPr>
        <w:pStyle w:val="Normal"/>
        <w:bidi w:val="0"/>
        <w:jc w:val="left"/>
        <w:rPr>
          <w:rFonts w:ascii="arial" w:hAnsi="arial"/>
          <w:b/>
          <w:b/>
          <w:bCs/>
          <w:sz w:val="18"/>
          <w:szCs w:val="18"/>
          <w:u w:val="single"/>
        </w:rPr>
      </w:pPr>
      <w:r>
        <w:rPr>
          <w:rFonts w:ascii="arial" w:hAnsi="arial"/>
          <w:b/>
          <w:bCs/>
          <w:sz w:val="18"/>
          <w:szCs w:val="18"/>
          <w:u w:val="single"/>
        </w:rPr>
        <w:t>Workflow Process:</w:t>
      </w:r>
    </w:p>
    <w:p>
      <w:pPr>
        <w:pStyle w:val="Normal"/>
        <w:bidi w:val="0"/>
        <w:jc w:val="left"/>
        <w:rPr>
          <w:rFonts w:ascii="arial" w:hAnsi="arial"/>
          <w:b/>
          <w:b/>
          <w:bCs/>
          <w:sz w:val="18"/>
          <w:szCs w:val="18"/>
          <w:u w:val="single"/>
        </w:rPr>
      </w:pPr>
      <w:r>
        <w:rPr>
          <w:rFonts w:ascii="arial" w:hAnsi="arial"/>
          <w:b/>
          <w:bCs/>
          <w:sz w:val="18"/>
          <w:szCs w:val="18"/>
          <w:u w:val="single"/>
        </w:rPr>
        <w:drawing>
          <wp:anchor behindDoc="0" distT="0" distB="0" distL="0" distR="0" simplePos="0" locked="0" layoutInCell="0" allowOverlap="1" relativeHeight="2">
            <wp:simplePos x="0" y="0"/>
            <wp:positionH relativeFrom="column">
              <wp:posOffset>419735</wp:posOffset>
            </wp:positionH>
            <wp:positionV relativeFrom="paragraph">
              <wp:posOffset>122555</wp:posOffset>
            </wp:positionV>
            <wp:extent cx="5565775" cy="470154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5301" t="0" r="3752" b="21278"/>
                    <a:stretch>
                      <a:fillRect/>
                    </a:stretch>
                  </pic:blipFill>
                  <pic:spPr bwMode="auto">
                    <a:xfrm>
                      <a:off x="0" y="0"/>
                      <a:ext cx="5565775" cy="4701540"/>
                    </a:xfrm>
                    <a:prstGeom prst="rect">
                      <a:avLst/>
                    </a:prstGeom>
                  </pic:spPr>
                </pic:pic>
              </a:graphicData>
            </a:graphic>
          </wp:anchor>
        </w:drawing>
      </w:r>
    </w:p>
    <w:p>
      <w:pPr>
        <w:pStyle w:val="Normal"/>
        <w:bidi w:val="0"/>
        <w:jc w:val="left"/>
        <w:rPr>
          <w:rFonts w:ascii="arial" w:hAnsi="arial"/>
          <w:b/>
          <w:b/>
          <w:bCs/>
          <w:sz w:val="18"/>
          <w:szCs w:val="18"/>
          <w:u w:val="single"/>
        </w:rPr>
      </w:pPr>
      <w:r>
        <w:rPr>
          <w:rFonts w:ascii="arial" w:hAnsi="arial"/>
          <w:b/>
          <w:bCs/>
          <w:sz w:val="18"/>
          <w:szCs w:val="18"/>
          <w:u w:val="single"/>
        </w:rPr>
      </w:r>
    </w:p>
    <w:p>
      <w:pPr>
        <w:pStyle w:val="Normal"/>
        <w:bidi w:val="0"/>
        <w:jc w:val="left"/>
        <w:rPr>
          <w:rFonts w:ascii="arial" w:hAnsi="arial"/>
          <w:b/>
          <w:b/>
          <w:bCs/>
          <w:sz w:val="18"/>
          <w:szCs w:val="18"/>
          <w:u w:val="single"/>
        </w:rPr>
      </w:pPr>
      <w:r>
        <w:rPr>
          <w:rFonts w:ascii="arial" w:hAnsi="arial"/>
          <w:b/>
          <w:bCs/>
          <w:sz w:val="18"/>
          <w:szCs w:val="18"/>
          <w:u w:val="single"/>
        </w:rPr>
      </w:r>
    </w:p>
    <w:p>
      <w:pPr>
        <w:pStyle w:val="Normal"/>
        <w:bidi w:val="0"/>
        <w:jc w:val="left"/>
        <w:rPr>
          <w:rFonts w:ascii="arial" w:hAnsi="arial"/>
          <w:b/>
          <w:b/>
          <w:bCs/>
          <w:sz w:val="18"/>
          <w:szCs w:val="18"/>
          <w:u w:val="single"/>
        </w:rPr>
      </w:pPr>
      <w:r>
        <w:rPr>
          <w:rFonts w:ascii="arial" w:hAnsi="arial"/>
          <w:b/>
          <w:bCs/>
          <w:sz w:val="18"/>
          <w:szCs w:val="18"/>
          <w:u w:val="single"/>
        </w:rPr>
        <w:t>Business Rules:</w:t>
      </w:r>
    </w:p>
    <w:p>
      <w:pPr>
        <w:pStyle w:val="Normal"/>
        <w:bidi w:val="0"/>
        <w:jc w:val="left"/>
        <w:rPr>
          <w:rFonts w:ascii="arial" w:hAnsi="arial"/>
          <w:b/>
          <w:b/>
          <w:bCs/>
          <w:sz w:val="18"/>
          <w:szCs w:val="18"/>
          <w:u w:val="single"/>
        </w:rPr>
      </w:pPr>
      <w:r>
        <w:rPr>
          <w:rFonts w:ascii="arial" w:hAnsi="arial"/>
          <w:b/>
          <w:bCs/>
          <w:sz w:val="18"/>
          <w:szCs w:val="18"/>
          <w:u w:val="single"/>
        </w:rPr>
      </w:r>
    </w:p>
    <w:p>
      <w:pPr>
        <w:pStyle w:val="Normal"/>
        <w:numPr>
          <w:ilvl w:val="0"/>
          <w:numId w:val="1"/>
        </w:numPr>
        <w:bidi w:val="0"/>
        <w:spacing w:before="114" w:after="114"/>
        <w:jc w:val="left"/>
        <w:rPr>
          <w:rFonts w:ascii="arial" w:hAnsi="arial"/>
          <w:b w:val="false"/>
          <w:b w:val="false"/>
          <w:bCs w:val="false"/>
          <w:sz w:val="18"/>
          <w:szCs w:val="18"/>
          <w:u w:val="none"/>
        </w:rPr>
      </w:pPr>
      <w:r>
        <w:rPr>
          <w:rFonts w:ascii="arial" w:hAnsi="arial"/>
          <w:b w:val="false"/>
          <w:bCs w:val="false"/>
          <w:sz w:val="18"/>
          <w:szCs w:val="18"/>
          <w:u w:val="none"/>
        </w:rPr>
        <w:t xml:space="preserve">It is visible in both </w:t>
      </w:r>
      <w:r>
        <w:rPr>
          <w:rFonts w:ascii="arial" w:hAnsi="arial"/>
          <w:b/>
          <w:bCs/>
          <w:sz w:val="18"/>
          <w:szCs w:val="18"/>
          <w:u w:val="none"/>
        </w:rPr>
        <w:t xml:space="preserve">ROW </w:t>
      </w:r>
      <w:r>
        <w:rPr>
          <w:rFonts w:ascii="arial" w:hAnsi="arial"/>
          <w:b w:val="false"/>
          <w:bCs w:val="false"/>
          <w:sz w:val="18"/>
          <w:szCs w:val="18"/>
          <w:u w:val="none"/>
        </w:rPr>
        <w:t xml:space="preserve">and </w:t>
      </w:r>
      <w:r>
        <w:rPr>
          <w:rFonts w:ascii="arial" w:hAnsi="arial"/>
          <w:b/>
          <w:bCs/>
          <w:sz w:val="18"/>
          <w:szCs w:val="18"/>
          <w:u w:val="none"/>
        </w:rPr>
        <w:t>HQOW.</w:t>
      </w:r>
    </w:p>
    <w:p>
      <w:pPr>
        <w:pStyle w:val="Normal"/>
        <w:numPr>
          <w:ilvl w:val="0"/>
          <w:numId w:val="1"/>
        </w:numPr>
        <w:bidi w:val="0"/>
        <w:spacing w:before="114" w:after="114"/>
        <w:jc w:val="left"/>
        <w:rPr>
          <w:rFonts w:ascii="arial" w:hAnsi="arial"/>
          <w:b w:val="false"/>
          <w:b w:val="false"/>
          <w:bCs w:val="false"/>
          <w:sz w:val="18"/>
          <w:szCs w:val="18"/>
          <w:u w:val="none"/>
        </w:rPr>
      </w:pPr>
      <w:r>
        <w:rPr>
          <w:rFonts w:ascii="arial" w:hAnsi="arial"/>
          <w:b w:val="false"/>
          <w:bCs w:val="false"/>
          <w:sz w:val="18"/>
          <w:szCs w:val="18"/>
          <w:u w:val="none"/>
        </w:rPr>
        <w:t>The import template must include the following columns: Partner Search Key, Name, Name 2, Active, Contact (User), Location, GOA, 3A Channel, Sub Channel, Customer Program, Representative, Payment Method, Price List, Credit Limit, CL Approval Level 1, Payment Term, Tax ID.</w:t>
      </w:r>
    </w:p>
    <w:p>
      <w:pPr>
        <w:pStyle w:val="Normal"/>
        <w:numPr>
          <w:ilvl w:val="0"/>
          <w:numId w:val="1"/>
        </w:numPr>
        <w:bidi w:val="0"/>
        <w:spacing w:before="114" w:after="114"/>
        <w:jc w:val="left"/>
        <w:rPr>
          <w:rFonts w:ascii="arial" w:hAnsi="arial"/>
          <w:b w:val="false"/>
          <w:b w:val="false"/>
          <w:bCs w:val="false"/>
          <w:sz w:val="18"/>
          <w:szCs w:val="18"/>
          <w:u w:val="none"/>
        </w:rPr>
      </w:pPr>
      <w:r>
        <w:rPr>
          <w:rFonts w:ascii="arial" w:hAnsi="arial"/>
          <w:b w:val="false"/>
          <w:bCs w:val="false"/>
          <w:sz w:val="18"/>
          <w:szCs w:val="18"/>
          <w:u w:val="none"/>
        </w:rPr>
        <w:t xml:space="preserve">The import path for business partner data is </w:t>
      </w:r>
      <w:r>
        <w:rPr>
          <w:rStyle w:val="SourceText"/>
          <w:rFonts w:ascii="arial" w:hAnsi="arial"/>
          <w:b w:val="false"/>
          <w:bCs w:val="false"/>
          <w:sz w:val="18"/>
          <w:szCs w:val="18"/>
          <w:u w:val="none"/>
        </w:rPr>
        <w:t>/home/awslqatftp/DMSIntegration/ROW/FROM_DMS/initialize/R1</w:t>
      </w:r>
      <w:r>
        <w:rPr>
          <w:rFonts w:ascii="arial" w:hAnsi="arial"/>
          <w:b w:val="false"/>
          <w:bCs w:val="false"/>
          <w:sz w:val="18"/>
          <w:szCs w:val="18"/>
          <w:u w:val="none"/>
        </w:rPr>
        <w:t>.</w:t>
      </w:r>
    </w:p>
    <w:p>
      <w:pPr>
        <w:pStyle w:val="Normal"/>
        <w:numPr>
          <w:ilvl w:val="0"/>
          <w:numId w:val="1"/>
        </w:numPr>
        <w:bidi w:val="0"/>
        <w:spacing w:before="114" w:after="114"/>
        <w:jc w:val="left"/>
        <w:rPr>
          <w:rFonts w:ascii="arial" w:hAnsi="arial"/>
          <w:b w:val="false"/>
          <w:b w:val="false"/>
          <w:bCs w:val="false"/>
          <w:sz w:val="18"/>
          <w:szCs w:val="18"/>
          <w:u w:val="none"/>
        </w:rPr>
      </w:pPr>
      <w:r>
        <w:rPr>
          <w:rFonts w:ascii="arial" w:hAnsi="arial"/>
          <w:b w:val="false"/>
          <w:bCs w:val="false"/>
          <w:sz w:val="18"/>
          <w:szCs w:val="18"/>
          <w:u w:val="none"/>
        </w:rPr>
        <w:t>I</w:t>
      </w:r>
      <w:r>
        <w:rPr>
          <w:rFonts w:ascii="arial" w:hAnsi="arial"/>
          <w:b w:val="false"/>
          <w:bCs w:val="false"/>
          <w:sz w:val="18"/>
          <w:szCs w:val="18"/>
          <w:u w:val="none"/>
        </w:rPr>
        <w:t>mporting DMS Partner with the respective organization ID in the last column of the (SYN_CUSTOMER) file. Importing DMS Partners without this ID should not be allowed.</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arial">
    <w:charset w:val="01"/>
    <w:family w:val="swiss"/>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IN" w:eastAsia="zh-CN" w:bidi="hi-IN"/>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Noto Sans Mono CJK SC"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widowControl w:val="false"/>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22</TotalTime>
  <Application>LibreOffice/7.3.7.2$Linux_X86_64 LibreOffice_project/30$Build-2</Application>
  <AppVersion>15.0000</AppVersion>
  <Pages>1</Pages>
  <Words>141</Words>
  <Characters>837</Characters>
  <CharactersWithSpaces>966</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2025-01-04T16:49:05Z</dcterms:created>
  <dc:creator/>
  <dc:description/>
  <dc:language>en-IN</dc:language>
  <cp:lastModifiedBy/>
  <dcterms:modified xsi:type="dcterms:W3CDTF">2025-01-04T17:31:46Z</dcterms:modified>
  <cp:revision>1</cp:revision>
  <dc:subject/>
  <dc:title/>
</cp:coreProperties>
</file>