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18"/>
          <w:szCs w:val="18"/>
          <w:u w:val="single"/>
        </w:rPr>
      </w:pPr>
      <w:r>
        <w:rPr>
          <w:rFonts w:ascii="arial" w:hAnsi="arial"/>
          <w:b/>
          <w:bCs/>
          <w:sz w:val="18"/>
          <w:szCs w:val="18"/>
          <w:u w:val="single"/>
        </w:rPr>
        <w:t>Master Functional Documentation</w:t>
      </w:r>
    </w:p>
    <w:p>
      <w:pPr>
        <w:pStyle w:val="Normal"/>
        <w:bidi w:val="0"/>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Charge</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i w:val="false"/>
          <w:i w:val="false"/>
          <w:iCs w:val="false"/>
          <w:sz w:val="18"/>
          <w:szCs w:val="18"/>
          <w:u w:val="single"/>
        </w:rPr>
      </w:pPr>
      <w:r>
        <w:rPr>
          <w:rFonts w:ascii="arial" w:hAnsi="arial"/>
          <w:b/>
          <w:bCs/>
          <w:i w:val="false"/>
          <w:iCs w:val="false"/>
          <w:sz w:val="18"/>
          <w:szCs w:val="18"/>
          <w:u w:val="single"/>
        </w:rPr>
        <w:t>Description:</w:t>
      </w:r>
    </w:p>
    <w:p>
      <w:pPr>
        <w:pStyle w:val="Normal"/>
        <w:bidi w:val="0"/>
        <w:jc w:val="left"/>
        <w:rPr>
          <w:rFonts w:ascii="arial" w:hAnsi="arial"/>
          <w:b/>
          <w:b/>
          <w:bCs/>
          <w:i w:val="false"/>
          <w:i w:val="false"/>
          <w:iCs w:val="false"/>
          <w:sz w:val="18"/>
          <w:szCs w:val="18"/>
          <w:u w:val="single"/>
        </w:rPr>
      </w:pPr>
      <w:r>
        <w:rPr/>
      </w:r>
    </w:p>
    <w:p>
      <w:pPr>
        <w:pStyle w:val="Normal"/>
        <w:bidi w:val="0"/>
        <w:jc w:val="left"/>
        <w:rPr/>
      </w:pPr>
      <w:r>
        <w:rPr>
          <w:rFonts w:ascii="arial" w:hAnsi="arial"/>
          <w:b/>
          <w:bCs/>
          <w:i w:val="false"/>
          <w:iCs w:val="false"/>
          <w:sz w:val="18"/>
          <w:szCs w:val="18"/>
          <w:u w:val="none"/>
        </w:rPr>
        <w:tab/>
      </w:r>
      <w:r>
        <w:rPr>
          <w:rFonts w:ascii="arial" w:hAnsi="arial"/>
          <w:b w:val="false"/>
          <w:bCs w:val="false"/>
          <w:i w:val="false"/>
          <w:iCs w:val="false"/>
          <w:sz w:val="18"/>
          <w:szCs w:val="18"/>
          <w:u w:val="none"/>
        </w:rPr>
        <w:t xml:space="preserve">In Compiere </w:t>
      </w:r>
      <w:r>
        <w:rPr>
          <w:rFonts w:ascii="arial" w:hAnsi="arial"/>
          <w:b/>
          <w:bCs/>
          <w:i w:val="false"/>
          <w:iCs w:val="false"/>
          <w:sz w:val="18"/>
          <w:szCs w:val="18"/>
          <w:u w:val="none"/>
        </w:rPr>
        <w:t>(NGERP – Centra)</w:t>
      </w:r>
      <w:r>
        <w:rPr>
          <w:rFonts w:ascii="arial" w:hAnsi="arial"/>
          <w:b w:val="false"/>
          <w:bCs w:val="false"/>
          <w:i w:val="false"/>
          <w:iCs w:val="false"/>
          <w:sz w:val="18"/>
          <w:szCs w:val="18"/>
          <w:u w:val="none"/>
        </w:rPr>
        <w:t xml:space="preserve">, the </w:t>
      </w:r>
      <w:r>
        <w:rPr>
          <w:rStyle w:val="StrongEmphasis"/>
          <w:rFonts w:ascii="arial" w:hAnsi="arial"/>
          <w:i w:val="false"/>
          <w:iCs w:val="false"/>
          <w:sz w:val="18"/>
          <w:szCs w:val="18"/>
          <w:u w:val="none"/>
        </w:rPr>
        <w:t>Charges</w:t>
      </w:r>
      <w:r>
        <w:rPr>
          <w:rFonts w:ascii="arial" w:hAnsi="arial"/>
          <w:b w:val="false"/>
          <w:bCs w:val="false"/>
          <w:i w:val="false"/>
          <w:iCs w:val="false"/>
          <w:sz w:val="18"/>
          <w:szCs w:val="18"/>
          <w:u w:val="none"/>
        </w:rPr>
        <w:t xml:space="preserve"> functionality is used to manage and track various fees associated with service requests. It allows users to define and apply different types of charges, such as Bank, Vendor, and Handling charges, to documents.</w:t>
      </w:r>
    </w:p>
    <w:p>
      <w:pPr>
        <w:pStyle w:val="Normal"/>
        <w:bidi w:val="0"/>
        <w:jc w:val="left"/>
        <w:rPr>
          <w:rFonts w:ascii="arial" w:hAnsi="arial"/>
          <w:i w:val="false"/>
          <w:i w:val="false"/>
          <w:iCs w:val="false"/>
          <w:sz w:val="18"/>
          <w:szCs w:val="18"/>
        </w:rPr>
      </w:pPr>
      <w:r>
        <w:rPr>
          <w:rFonts w:ascii="arial" w:hAnsi="arial"/>
          <w:i w:val="false"/>
          <w:iCs w:val="false"/>
          <w:sz w:val="18"/>
          <w:szCs w:val="18"/>
        </w:rPr>
      </w:r>
    </w:p>
    <w:p>
      <w:pPr>
        <w:pStyle w:val="Normal"/>
        <w:bidi w:val="0"/>
        <w:jc w:val="left"/>
        <w:rPr>
          <w:b/>
          <w:b/>
          <w:bCs/>
          <w:u w:val="single"/>
        </w:rPr>
      </w:pPr>
      <w:r>
        <w:rPr>
          <w:rFonts w:ascii="arial" w:hAnsi="arial"/>
          <w:b/>
          <w:bCs/>
          <w:i w:val="false"/>
          <w:iCs w:val="false"/>
          <w:sz w:val="18"/>
          <w:szCs w:val="18"/>
          <w:u w:val="single"/>
        </w:rPr>
        <w:t>Workflow Process:</w:t>
      </w:r>
    </w:p>
    <w:p>
      <w:pPr>
        <w:pStyle w:val="Normal"/>
        <w:bidi w:val="0"/>
        <w:jc w:val="left"/>
        <w:rPr>
          <w:rFonts w:ascii="arial" w:hAnsi="arial"/>
          <w:i w:val="false"/>
          <w:i w:val="false"/>
          <w:iCs w:val="false"/>
          <w:sz w:val="18"/>
          <w:szCs w:val="18"/>
        </w:rPr>
      </w:pPr>
      <w:r>
        <w:rPr>
          <w:rFonts w:ascii="arial" w:hAnsi="arial"/>
          <w:i w:val="false"/>
          <w:iCs w:val="false"/>
          <w:sz w:val="18"/>
          <w:szCs w:val="18"/>
        </w:rPr>
      </w:r>
    </w:p>
    <w:p>
      <w:pPr>
        <w:pStyle w:val="Normal"/>
        <w:bidi w:val="0"/>
        <w:jc w:val="left"/>
        <w:rPr>
          <w:rFonts w:ascii="arial" w:hAnsi="arial"/>
          <w:i w:val="false"/>
          <w:i w:val="false"/>
          <w:iCs w:val="false"/>
          <w:sz w:val="18"/>
          <w:szCs w:val="18"/>
        </w:rPr>
      </w:pPr>
      <w:r>
        <w:rPr>
          <w:rFonts w:ascii="arial" w:hAnsi="arial"/>
          <w:i w:val="false"/>
          <w:iCs w:val="false"/>
          <w:sz w:val="18"/>
          <w:szCs w:val="18"/>
        </w:rPr>
        <w:drawing>
          <wp:anchor behindDoc="0" distT="0" distB="0" distL="0" distR="0" simplePos="0" locked="0" layoutInCell="0" allowOverlap="1" relativeHeight="2">
            <wp:simplePos x="0" y="0"/>
            <wp:positionH relativeFrom="column">
              <wp:posOffset>167005</wp:posOffset>
            </wp:positionH>
            <wp:positionV relativeFrom="paragraph">
              <wp:posOffset>22860</wp:posOffset>
            </wp:positionV>
            <wp:extent cx="5905500" cy="4508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2315"/>
                    <a:stretch>
                      <a:fillRect/>
                    </a:stretch>
                  </pic:blipFill>
                  <pic:spPr bwMode="auto">
                    <a:xfrm>
                      <a:off x="0" y="0"/>
                      <a:ext cx="5905500" cy="4508500"/>
                    </a:xfrm>
                    <a:prstGeom prst="rect">
                      <a:avLst/>
                    </a:prstGeom>
                  </pic:spPr>
                </pic:pic>
              </a:graphicData>
            </a:graphic>
          </wp:anchor>
        </w:drawing>
      </w:r>
    </w:p>
    <w:p>
      <w:pPr>
        <w:pStyle w:val="Normal"/>
        <w:bidi w:val="0"/>
        <w:jc w:val="left"/>
        <w:rPr>
          <w:rFonts w:ascii="arial" w:hAnsi="arial"/>
          <w:i w:val="false"/>
          <w:i w:val="false"/>
          <w:iCs w:val="false"/>
          <w:sz w:val="18"/>
          <w:szCs w:val="18"/>
        </w:rPr>
      </w:pPr>
      <w:r>
        <w:rPr>
          <w:rFonts w:ascii="arial" w:hAnsi="arial"/>
          <w:i w:val="false"/>
          <w:iCs w:val="false"/>
          <w:sz w:val="18"/>
          <w:szCs w:val="18"/>
        </w:rPr>
      </w:r>
    </w:p>
    <w:p>
      <w:pPr>
        <w:pStyle w:val="Normal"/>
        <w:bidi w:val="0"/>
        <w:jc w:val="left"/>
        <w:rPr>
          <w:b/>
          <w:b/>
          <w:bCs/>
          <w:u w:val="single"/>
        </w:rPr>
      </w:pPr>
      <w:r>
        <w:rPr>
          <w:rFonts w:ascii="arial" w:hAnsi="arial"/>
          <w:b/>
          <w:bCs/>
          <w:i w:val="false"/>
          <w:iCs w:val="false"/>
          <w:sz w:val="18"/>
          <w:szCs w:val="18"/>
          <w:u w:val="single"/>
        </w:rPr>
        <w:t>Business Rules:</w:t>
      </w:r>
    </w:p>
    <w:p>
      <w:pPr>
        <w:pStyle w:val="Normal"/>
        <w:bidi w:val="0"/>
        <w:jc w:val="left"/>
        <w:rPr>
          <w:rFonts w:ascii="arial" w:hAnsi="arial"/>
          <w:i w:val="false"/>
          <w:i w:val="false"/>
          <w:iCs w:val="false"/>
          <w:sz w:val="18"/>
          <w:szCs w:val="18"/>
        </w:rPr>
      </w:pPr>
      <w:r>
        <w:rPr>
          <w:rFonts w:ascii="arial" w:hAnsi="arial"/>
          <w:i w:val="false"/>
          <w:iCs w:val="false"/>
          <w:sz w:val="18"/>
          <w:szCs w:val="18"/>
        </w:rPr>
      </w:r>
    </w:p>
    <w:p>
      <w:pPr>
        <w:pStyle w:val="Normal"/>
        <w:numPr>
          <w:ilvl w:val="0"/>
          <w:numId w:val="1"/>
        </w:numPr>
        <w:bidi w:val="0"/>
        <w:spacing w:before="57" w:after="57"/>
        <w:jc w:val="left"/>
        <w:rPr>
          <w:b w:val="false"/>
          <w:b w:val="false"/>
          <w:bCs w:val="false"/>
          <w:u w:val="none"/>
        </w:rPr>
      </w:pPr>
      <w:r>
        <w:rPr>
          <w:rFonts w:ascii="arial" w:hAnsi="arial"/>
          <w:b w:val="false"/>
          <w:bCs w:val="false"/>
          <w:i w:val="false"/>
          <w:iCs w:val="false"/>
          <w:sz w:val="18"/>
          <w:szCs w:val="18"/>
          <w:u w:val="none"/>
        </w:rPr>
        <w:t xml:space="preserve">New charges can only be created in the </w:t>
      </w:r>
      <w:r>
        <w:rPr>
          <w:rStyle w:val="StrongEmphasis"/>
          <w:rFonts w:ascii="arial" w:hAnsi="arial"/>
          <w:i w:val="false"/>
          <w:iCs w:val="false"/>
          <w:sz w:val="18"/>
          <w:szCs w:val="18"/>
          <w:u w:val="none"/>
        </w:rPr>
        <w:t>HQ (Headquarters)</w:t>
      </w:r>
      <w:r>
        <w:rPr>
          <w:rFonts w:ascii="arial" w:hAnsi="arial"/>
          <w:b w:val="false"/>
          <w:bCs w:val="false"/>
          <w:i w:val="false"/>
          <w:iCs w:val="false"/>
          <w:sz w:val="18"/>
          <w:szCs w:val="18"/>
          <w:u w:val="none"/>
        </w:rPr>
        <w:t xml:space="preserve"> system. Users in the HQ are responsible for creating and managing new charges.</w:t>
      </w:r>
    </w:p>
    <w:p>
      <w:pPr>
        <w:pStyle w:val="Normal"/>
        <w:numPr>
          <w:ilvl w:val="0"/>
          <w:numId w:val="1"/>
        </w:numPr>
        <w:bidi w:val="0"/>
        <w:spacing w:before="57" w:after="57"/>
        <w:jc w:val="left"/>
        <w:rPr>
          <w:b w:val="false"/>
          <w:b w:val="false"/>
          <w:bCs w:val="false"/>
          <w:u w:val="none"/>
        </w:rPr>
      </w:pPr>
      <w:r>
        <w:rPr>
          <w:rFonts w:ascii="arial" w:hAnsi="arial"/>
          <w:b w:val="false"/>
          <w:bCs w:val="false"/>
          <w:i w:val="false"/>
          <w:iCs w:val="false"/>
          <w:sz w:val="18"/>
          <w:szCs w:val="18"/>
          <w:u w:val="none"/>
        </w:rPr>
        <w:t xml:space="preserve">In the HQ, the user must decide if the charge is for NTA by setting the </w:t>
      </w:r>
      <w:r>
        <w:rPr>
          <w:rStyle w:val="SourceText"/>
          <w:rFonts w:ascii="arial" w:hAnsi="arial"/>
          <w:b w:val="false"/>
          <w:bCs w:val="false"/>
          <w:i w:val="false"/>
          <w:iCs w:val="false"/>
          <w:sz w:val="18"/>
          <w:szCs w:val="18"/>
          <w:u w:val="none"/>
        </w:rPr>
        <w:t>isNTA</w:t>
      </w:r>
      <w:r>
        <w:rPr>
          <w:rFonts w:ascii="arial" w:hAnsi="arial"/>
          <w:b w:val="false"/>
          <w:bCs w:val="false"/>
          <w:i w:val="false"/>
          <w:iCs w:val="false"/>
          <w:sz w:val="18"/>
          <w:szCs w:val="18"/>
          <w:u w:val="none"/>
        </w:rPr>
        <w:t xml:space="preserve"> field to </w:t>
      </w:r>
      <w:r>
        <w:rPr>
          <w:rFonts w:ascii="arial" w:hAnsi="arial"/>
          <w:b/>
          <w:bCs/>
          <w:i w:val="false"/>
          <w:iCs w:val="false"/>
          <w:sz w:val="18"/>
          <w:szCs w:val="18"/>
          <w:u w:val="none"/>
        </w:rPr>
        <w:t>tick or un-tick</w:t>
      </w:r>
      <w:r>
        <w:rPr>
          <w:rFonts w:ascii="arial" w:hAnsi="arial"/>
          <w:b w:val="false"/>
          <w:bCs w:val="false"/>
          <w:i w:val="false"/>
          <w:iCs w:val="false"/>
          <w:sz w:val="18"/>
          <w:szCs w:val="18"/>
          <w:u w:val="none"/>
        </w:rPr>
        <w:t>.</w:t>
      </w:r>
    </w:p>
    <w:p>
      <w:pPr>
        <w:pStyle w:val="Normal"/>
        <w:numPr>
          <w:ilvl w:val="0"/>
          <w:numId w:val="1"/>
        </w:numPr>
        <w:bidi w:val="0"/>
        <w:spacing w:before="57" w:after="57"/>
        <w:jc w:val="left"/>
        <w:rPr>
          <w:b w:val="false"/>
          <w:b w:val="false"/>
          <w:bCs w:val="false"/>
          <w:u w:val="none"/>
        </w:rPr>
      </w:pPr>
      <w:r>
        <w:rPr>
          <w:rFonts w:ascii="arial" w:hAnsi="arial"/>
          <w:b w:val="false"/>
          <w:bCs w:val="false"/>
          <w:i w:val="false"/>
          <w:iCs w:val="false"/>
          <w:sz w:val="18"/>
          <w:szCs w:val="18"/>
          <w:u w:val="none"/>
        </w:rPr>
        <w:t xml:space="preserve">If the </w:t>
      </w:r>
      <w:r>
        <w:rPr>
          <w:rStyle w:val="SourceText"/>
          <w:rFonts w:ascii="arial" w:hAnsi="arial"/>
          <w:b w:val="false"/>
          <w:bCs w:val="false"/>
          <w:i w:val="false"/>
          <w:iCs w:val="false"/>
          <w:sz w:val="18"/>
          <w:szCs w:val="18"/>
          <w:u w:val="none"/>
        </w:rPr>
        <w:t>isNTA</w:t>
      </w:r>
      <w:r>
        <w:rPr>
          <w:rFonts w:ascii="arial" w:hAnsi="arial"/>
          <w:b w:val="false"/>
          <w:bCs w:val="false"/>
          <w:i w:val="false"/>
          <w:iCs w:val="false"/>
          <w:sz w:val="18"/>
          <w:szCs w:val="18"/>
          <w:u w:val="none"/>
        </w:rPr>
        <w:t xml:space="preserve"> field is set to </w:t>
      </w:r>
      <w:r>
        <w:rPr>
          <w:rStyle w:val="StrongEmphasis"/>
          <w:rFonts w:ascii="arial" w:hAnsi="arial"/>
          <w:i w:val="false"/>
          <w:iCs w:val="false"/>
          <w:sz w:val="18"/>
          <w:szCs w:val="18"/>
          <w:u w:val="none"/>
        </w:rPr>
        <w:t>tick</w:t>
      </w:r>
      <w:r>
        <w:rPr>
          <w:rFonts w:ascii="arial" w:hAnsi="arial"/>
          <w:b w:val="false"/>
          <w:bCs w:val="false"/>
          <w:i w:val="false"/>
          <w:iCs w:val="false"/>
          <w:sz w:val="18"/>
          <w:szCs w:val="18"/>
          <w:u w:val="none"/>
        </w:rPr>
        <w:t xml:space="preserve">, the charge will be loaded into the </w:t>
      </w:r>
      <w:r>
        <w:rPr>
          <w:rStyle w:val="StrongEmphasis"/>
          <w:rFonts w:ascii="arial" w:hAnsi="arial"/>
          <w:i w:val="false"/>
          <w:iCs w:val="false"/>
          <w:sz w:val="18"/>
          <w:szCs w:val="18"/>
          <w:u w:val="none"/>
        </w:rPr>
        <w:t>HQ</w:t>
      </w:r>
      <w:r>
        <w:rPr>
          <w:rFonts w:ascii="arial" w:hAnsi="arial"/>
          <w:b w:val="false"/>
          <w:bCs w:val="false"/>
          <w:i w:val="false"/>
          <w:iCs w:val="false"/>
          <w:sz w:val="18"/>
          <w:szCs w:val="18"/>
          <w:u w:val="none"/>
        </w:rPr>
        <w:t xml:space="preserve"> system. If the </w:t>
      </w:r>
      <w:r>
        <w:rPr>
          <w:rStyle w:val="SourceText"/>
          <w:rFonts w:ascii="arial" w:hAnsi="arial"/>
          <w:b w:val="false"/>
          <w:bCs w:val="false"/>
          <w:i w:val="false"/>
          <w:iCs w:val="false"/>
          <w:sz w:val="18"/>
          <w:szCs w:val="18"/>
          <w:u w:val="none"/>
        </w:rPr>
        <w:t>isNTA</w:t>
      </w:r>
      <w:r>
        <w:rPr>
          <w:rFonts w:ascii="arial" w:hAnsi="arial"/>
          <w:b w:val="false"/>
          <w:bCs w:val="false"/>
          <w:i w:val="false"/>
          <w:iCs w:val="false"/>
          <w:sz w:val="18"/>
          <w:szCs w:val="18"/>
          <w:u w:val="none"/>
        </w:rPr>
        <w:t xml:space="preserve"> field is set to </w:t>
      </w:r>
      <w:r>
        <w:rPr>
          <w:rStyle w:val="StrongEmphasis"/>
          <w:rFonts w:ascii="arial" w:hAnsi="arial"/>
          <w:i w:val="false"/>
          <w:iCs w:val="false"/>
          <w:sz w:val="18"/>
          <w:szCs w:val="18"/>
          <w:u w:val="none"/>
        </w:rPr>
        <w:t>un-tick</w:t>
      </w:r>
      <w:r>
        <w:rPr>
          <w:rFonts w:ascii="arial" w:hAnsi="arial"/>
          <w:b w:val="false"/>
          <w:bCs w:val="false"/>
          <w:i w:val="false"/>
          <w:iCs w:val="false"/>
          <w:sz w:val="18"/>
          <w:szCs w:val="18"/>
          <w:u w:val="none"/>
        </w:rPr>
        <w:t xml:space="preserve">, the charge will remain in the </w:t>
      </w:r>
      <w:r>
        <w:rPr>
          <w:rStyle w:val="StrongEmphasis"/>
          <w:rFonts w:ascii="arial" w:hAnsi="arial"/>
          <w:i w:val="false"/>
          <w:iCs w:val="false"/>
          <w:sz w:val="18"/>
          <w:szCs w:val="18"/>
          <w:u w:val="none"/>
        </w:rPr>
        <w:t xml:space="preserve">ROW (Regions of the World) </w:t>
      </w:r>
      <w:r>
        <w:rPr>
          <w:rFonts w:ascii="arial" w:hAnsi="arial"/>
          <w:b w:val="false"/>
          <w:bCs w:val="false"/>
          <w:i w:val="false"/>
          <w:iCs w:val="false"/>
          <w:sz w:val="18"/>
          <w:szCs w:val="18"/>
          <w:u w:val="none"/>
        </w:rPr>
        <w:t>system.</w:t>
      </w:r>
    </w:p>
    <w:p>
      <w:pPr>
        <w:pStyle w:val="Normal"/>
        <w:numPr>
          <w:ilvl w:val="0"/>
          <w:numId w:val="1"/>
        </w:numPr>
        <w:bidi w:val="0"/>
        <w:spacing w:before="57" w:after="57"/>
        <w:jc w:val="left"/>
        <w:rPr>
          <w:rFonts w:ascii="arial" w:hAnsi="arial"/>
          <w:i w:val="false"/>
          <w:i w:val="false"/>
          <w:iCs w:val="false"/>
          <w:sz w:val="18"/>
          <w:szCs w:val="18"/>
        </w:rPr>
      </w:pPr>
      <w:r>
        <w:rPr>
          <w:rFonts w:ascii="arial" w:hAnsi="arial"/>
          <w:b w:val="false"/>
          <w:bCs w:val="false"/>
          <w:i w:val="false"/>
          <w:iCs w:val="false"/>
          <w:sz w:val="18"/>
          <w:szCs w:val="18"/>
          <w:u w:val="none"/>
        </w:rPr>
        <w:t xml:space="preserve">Charges will only be visible and applicable in the respective region (HQ or ROW) based on the </w:t>
      </w:r>
      <w:r>
        <w:rPr>
          <w:rStyle w:val="SourceText"/>
          <w:rFonts w:ascii="arial" w:hAnsi="arial"/>
          <w:b w:val="false"/>
          <w:bCs w:val="false"/>
          <w:i w:val="false"/>
          <w:iCs w:val="false"/>
          <w:sz w:val="18"/>
          <w:szCs w:val="18"/>
          <w:u w:val="none"/>
        </w:rPr>
        <w:t>isNTA</w:t>
      </w:r>
      <w:r>
        <w:rPr>
          <w:rFonts w:ascii="arial" w:hAnsi="arial"/>
          <w:b w:val="false"/>
          <w:bCs w:val="false"/>
          <w:i w:val="false"/>
          <w:iCs w:val="false"/>
          <w:sz w:val="18"/>
          <w:szCs w:val="18"/>
          <w:u w:val="none"/>
        </w:rPr>
        <w:t xml:space="preserve"> setting, ensuring that charges are correctly assigned to either the Headquarters or the Regions of the World.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179</Words>
  <Characters>877</Characters>
  <CharactersWithSpaces>1042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2024-12-14T14:21:12Z</dcterms:created>
  <dc:creator/>
  <dc:description/>
  <dc:language>en-IN</dc:language>
  <cp:lastModifiedBy/>
  <dcterms:modified xsi:type="dcterms:W3CDTF">2024-12-16T17:12:05Z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