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Move Confirmation (VAS,Metro,Borrow)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Fonts w:ascii="arial" w:hAnsi="arial"/>
          <w:b/>
          <w:bCs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, the users can able to view consignment movement documents with an "In Progress" status in the </w:t>
      </w:r>
      <w:r>
        <w:rPr>
          <w:rFonts w:ascii="arial" w:hAnsi="arial"/>
          <w:b/>
          <w:bCs/>
          <w:sz w:val="18"/>
          <w:szCs w:val="18"/>
        </w:rPr>
        <w:t xml:space="preserve">Move Confirmation (VAS, Metro, Borrow) </w:t>
      </w:r>
      <w:r>
        <w:rPr>
          <w:rFonts w:ascii="arial" w:hAnsi="arial"/>
          <w:sz w:val="18"/>
          <w:szCs w:val="18"/>
        </w:rPr>
        <w:t>screen.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309245</wp:posOffset>
            </wp:positionH>
            <wp:positionV relativeFrom="paragraph">
              <wp:posOffset>635</wp:posOffset>
            </wp:positionV>
            <wp:extent cx="5742305" cy="3926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24" t="0" r="2239" b="10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i w:val="false"/>
          <w:iCs w:val="false"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i w:val="false"/>
          <w:iCs w:val="false"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Editing of consignment movement documents should not be allowed once they are in the Move Confirmation screen, only allowing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completion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Voided consignment movement documents also visible in the 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open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 xml:space="preserve"> move confirmation 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screen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The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"Void" action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should be restricted for documents with a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Draft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status in the Move Confirmation screen.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Documents with a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Completed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status should not be allowed to be voided in the Move Confirmation screen.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125</Words>
  <Characters>706</Characters>
  <CharactersWithSpaces>815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2024-12-30T15:33:50Z</dcterms:created>
  <dc:creator/>
  <dc:description/>
  <dc:language>en-IN</dc:language>
  <cp:lastModifiedBy/>
  <dcterms:modified xsi:type="dcterms:W3CDTF">2024-12-31T16:50:36Z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