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VAT Transfer (Trade)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>Compiere (NGERP -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Fonts w:ascii="arial" w:hAnsi="arial"/>
          <w:b/>
          <w:bCs/>
          <w:sz w:val="18"/>
          <w:szCs w:val="18"/>
          <w:u w:val="none"/>
        </w:rPr>
        <w:t>VAT Transfer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handles changes in VAT statuses between Declared, Undeclared, and WriteOff. It tracks Sales Transactions and updates the General Ledger with accurate Account Dates.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7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/>
          <w:bCs/>
          <w:sz w:val="18"/>
          <w:szCs w:val="18"/>
          <w:u w:val="none"/>
        </w:rPr>
        <w:t>Creation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only possible in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shows all region data.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The </w:t>
      </w:r>
      <w:r>
        <w:rPr>
          <w:rStyle w:val="StrongEmphasis"/>
          <w:rFonts w:ascii="arial" w:hAnsi="arial"/>
          <w:sz w:val="18"/>
          <w:szCs w:val="18"/>
          <w:u w:val="none"/>
        </w:rPr>
        <w:t>VAT Transfer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determines the movement between VAT statuses (e.g., </w:t>
      </w:r>
      <w:r>
        <w:rPr>
          <w:rStyle w:val="StrongEmphasis"/>
          <w:rFonts w:ascii="arial" w:hAnsi="arial"/>
          <w:sz w:val="18"/>
          <w:szCs w:val="18"/>
          <w:u w:val="none"/>
        </w:rPr>
        <w:t>Declared to Undeclared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WriteOff to Declared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).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1</Pages>
  <Words>91</Words>
  <Characters>506</Characters>
  <CharactersWithSpaces>582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2024-12-30T12:11:47Z</dcterms:created>
  <dc:creator/>
  <dc:description/>
  <dc:language>en-IN</dc:language>
  <cp:lastModifiedBy/>
  <dcterms:modified xsi:type="dcterms:W3CDTF">2024-12-31T12:03:38Z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