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Contents"/>
        <w:widowControl w:val="false"/>
        <w:bidi w:val="0"/>
        <w:jc w:val="center"/>
        <w:rPr>
          <w:b/>
          <w:b/>
        </w:rPr>
      </w:pPr>
      <w:bookmarkStart w:id="0" w:name="WindowName"/>
      <w:bookmarkEnd w:id="0"/>
      <w:r>
        <w:rPr>
          <w:b/>
        </w:rPr>
        <w:t>TMS Program Mapping</w:t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6120130" cy="361378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  <w:t>Manage Invoice</w:t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bidi w:val="0"/>
        <w:jc w:val="left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85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left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p>
      <w:pPr>
        <w:pStyle w:val="TableContents"/>
        <w:widowControl w:val="false"/>
        <w:bidi w:val="0"/>
        <w:jc w:val="center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5</Words>
  <Characters>30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2025-01-25T14:00:24Z</dcterms:created>
  <dc:creator/>
  <dc:description/>
  <dc:language>en-IN</dc:language>
  <cp:lastModifiedBy/>
  <dcterms:modified xsi:type="dcterms:W3CDTF">2025-01-25T14:04:03Z</dcterms:modified>
  <cp:revision>1</cp:revision>
  <dc:subject/>
  <dc:title/>
</cp:coreProperties>
</file>