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-limitation-assumption-register"/>
    <w:p>
      <w:pPr>
        <w:pStyle w:val="Heading1"/>
      </w:pPr>
      <w:r>
        <w:t xml:space="preserve">DATA LIMITATION &amp; ASSUMPTION REGISTER</w:t>
      </w:r>
    </w:p>
    <w:p>
      <w:pPr>
        <w:pStyle w:val="FirstParagraph"/>
      </w:pPr>
      <w:r>
        <w:t xml:space="preserve">Project: HR Analytics Dashboard</w:t>
      </w:r>
      <w:r>
        <w:br/>
      </w:r>
      <w:r>
        <w:t xml:space="preserve">Version: 1.0</w:t>
      </w:r>
      <w:r>
        <w:br/>
      </w:r>
      <w:r>
        <w:t xml:space="preserve">Prepared By: Surya</w:t>
      </w:r>
      <w:r>
        <w:br/>
      </w:r>
      <w:r>
        <w:t xml:space="preserve">Reviewed By: Chandra</w:t>
      </w:r>
      <w:r>
        <w:br/>
      </w:r>
      <w:r>
        <w:t xml:space="preserve">Stakeholder: Claura (HR Director)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records all known data limitations, analytical constraints, assumptions, and business interpretation risks identified during the HR Analytics Dashboard project.</w:t>
      </w:r>
    </w:p>
    <w:p>
      <w:pPr>
        <w:pStyle w:val="BodyText"/>
      </w:pPr>
      <w:r>
        <w:t xml:space="preserve">The objective is to ensure transparency and prevent stakeholders from drawing conclusions that exceed the capabilities of the dataset.</w:t>
      </w:r>
    </w:p>
    <w:p>
      <w:r>
        <w:pict>
          <v:rect style="width:0;height:1.5pt" o:hralign="center" o:hrstd="t" o:hr="t"/>
        </w:pict>
      </w:r>
    </w:p>
    <w:bookmarkEnd w:id="21"/>
    <w:bookmarkStart w:id="22" w:name="why-this-document-exists"/>
    <w:p>
      <w:pPr>
        <w:pStyle w:val="Heading1"/>
      </w:pPr>
      <w:r>
        <w:t xml:space="preserve">2. Why This Document Exists</w:t>
      </w:r>
    </w:p>
    <w:p>
      <w:pPr>
        <w:pStyle w:val="FirstParagraph"/>
      </w:pPr>
      <w:r>
        <w:t xml:space="preserve">Data-driven decisions are only as reliable as the data used.</w:t>
      </w:r>
    </w:p>
    <w:p>
      <w:pPr>
        <w:pStyle w:val="BodyText"/>
      </w:pPr>
      <w:r>
        <w:t xml:space="preserve">During exploratory and diagnostic analysis, several limitations were identified that may affect interpretation of workforce metrics, attrition findings, employee experience analysis, and retention recommendations.</w:t>
      </w:r>
    </w:p>
    <w:p>
      <w:pPr>
        <w:pStyle w:val="BodyText"/>
      </w:pPr>
      <w:r>
        <w:t xml:space="preserve">This document ensures that stakeholders understand:</w:t>
      </w:r>
    </w:p>
    <w:p>
      <w:pPr>
        <w:pStyle w:val="Compact"/>
        <w:numPr>
          <w:ilvl w:val="0"/>
          <w:numId w:val="1001"/>
        </w:numPr>
      </w:pPr>
      <w:r>
        <w:t xml:space="preserve">What can be confidently concluded.</w:t>
      </w:r>
    </w:p>
    <w:p>
      <w:pPr>
        <w:pStyle w:val="Compact"/>
        <w:numPr>
          <w:ilvl w:val="0"/>
          <w:numId w:val="1001"/>
        </w:numPr>
      </w:pPr>
      <w:r>
        <w:t xml:space="preserve">What should be interpreted cautiously.</w:t>
      </w:r>
    </w:p>
    <w:p>
      <w:pPr>
        <w:pStyle w:val="Compact"/>
        <w:numPr>
          <w:ilvl w:val="0"/>
          <w:numId w:val="1001"/>
        </w:numPr>
      </w:pPr>
      <w:r>
        <w:t xml:space="preserve">Which assumptions were necessary to perform analysis.</w:t>
      </w:r>
    </w:p>
    <w:p>
      <w:pPr>
        <w:pStyle w:val="Compact"/>
        <w:numPr>
          <w:ilvl w:val="0"/>
          <w:numId w:val="1001"/>
        </w:numPr>
      </w:pPr>
      <w:r>
        <w:t xml:space="preserve">What additional data would improve future analysis.</w:t>
      </w:r>
    </w:p>
    <w:p>
      <w:r>
        <w:pict>
          <v:rect style="width:0;height:1.5pt" o:hralign="center" o:hrstd="t" o:hr="t"/>
        </w:pict>
      </w:r>
    </w:p>
    <w:bookmarkEnd w:id="22"/>
    <w:bookmarkStart w:id="68" w:name="data-limitation-register"/>
    <w:p>
      <w:pPr>
        <w:pStyle w:val="Heading1"/>
      </w:pPr>
      <w:r>
        <w:t xml:space="preserve">3. Data Limitation Register</w:t>
      </w:r>
    </w:p>
    <w:bookmarkStart w:id="27" w:name="lim-01-static-snapshot-dataset"/>
    <w:p>
      <w:pPr>
        <w:pStyle w:val="Heading2"/>
      </w:pPr>
      <w:r>
        <w:t xml:space="preserve">LIM-01 Static Snapshot Dataset</w:t>
      </w:r>
    </w:p>
    <w:bookmarkStart w:id="23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dataset represents a single workforce snapshot rather than continuous historical HR records.</w:t>
      </w:r>
    </w:p>
    <w:bookmarkEnd w:id="23"/>
    <w:bookmarkStart w:id="24" w:name="impact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The following metrics cannot be calculated accurately:</w:t>
      </w:r>
    </w:p>
    <w:p>
      <w:pPr>
        <w:pStyle w:val="Compact"/>
        <w:numPr>
          <w:ilvl w:val="0"/>
          <w:numId w:val="1002"/>
        </w:numPr>
      </w:pPr>
      <w:r>
        <w:t xml:space="preserve">Annual Attrition Rate</w:t>
      </w:r>
    </w:p>
    <w:p>
      <w:pPr>
        <w:pStyle w:val="Compact"/>
        <w:numPr>
          <w:ilvl w:val="0"/>
          <w:numId w:val="1002"/>
        </w:numPr>
      </w:pPr>
      <w:r>
        <w:t xml:space="preserve">Monthly Attrition Trends</w:t>
      </w:r>
    </w:p>
    <w:p>
      <w:pPr>
        <w:pStyle w:val="Compact"/>
        <w:numPr>
          <w:ilvl w:val="0"/>
          <w:numId w:val="1002"/>
        </w:numPr>
      </w:pPr>
      <w:r>
        <w:t xml:space="preserve">Quarterly Workforce Trends</w:t>
      </w:r>
    </w:p>
    <w:p>
      <w:pPr>
        <w:pStyle w:val="Compact"/>
        <w:numPr>
          <w:ilvl w:val="0"/>
          <w:numId w:val="1002"/>
        </w:numPr>
      </w:pPr>
      <w:r>
        <w:t xml:space="preserve">Year-over-Year Retention Changes</w:t>
      </w:r>
    </w:p>
    <w:bookmarkEnd w:id="24"/>
    <w:bookmarkStart w:id="25" w:name="business-risk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Stakeholders may incorrectly interpret overall attrition as a yearly turnover rate.</w:t>
      </w:r>
    </w:p>
    <w:bookmarkEnd w:id="25"/>
    <w:bookmarkStart w:id="26" w:name="mitigation"/>
    <w:p>
      <w:pPr>
        <w:pStyle w:val="Heading3"/>
      </w:pPr>
      <w:r>
        <w:t xml:space="preserve">Mitigation</w:t>
      </w:r>
    </w:p>
    <w:p>
      <w:pPr>
        <w:pStyle w:val="FirstParagraph"/>
      </w:pPr>
      <w:r>
        <w:t xml:space="preserve">Clearly label attrition metrics as:</w:t>
      </w:r>
    </w:p>
    <w:p>
      <w:pPr>
        <w:pStyle w:val="BodyText"/>
      </w:pPr>
      <w:r>
        <w:t xml:space="preserve">“Dataset Attrition Rate”</w:t>
      </w:r>
    </w:p>
    <w:p>
      <w:pPr>
        <w:pStyle w:val="BodyText"/>
      </w:pPr>
      <w:r>
        <w:t xml:space="preserve">rather than</w:t>
      </w:r>
    </w:p>
    <w:p>
      <w:pPr>
        <w:pStyle w:val="BodyText"/>
      </w:pPr>
      <w:r>
        <w:t xml:space="preserve">“Annual Attrition Rate”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c9eb4a67e165799c9e2789dadddde13dc1f7d1c"/>
    <w:p>
      <w:pPr>
        <w:pStyle w:val="Heading2"/>
      </w:pPr>
      <w:r>
        <w:t xml:space="preserve">LIM-02 Missing Historical Workforce Snapshots</w:t>
      </w:r>
    </w:p>
    <w:bookmarkStart w:id="28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No historical monthly workforce records are available.</w:t>
      </w:r>
    </w:p>
    <w:bookmarkEnd w:id="28"/>
    <w:bookmarkStart w:id="29" w:name="impact-1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The project cannot determine:</w:t>
      </w:r>
    </w:p>
    <w:p>
      <w:pPr>
        <w:pStyle w:val="Compact"/>
        <w:numPr>
          <w:ilvl w:val="0"/>
          <w:numId w:val="1003"/>
        </w:numPr>
      </w:pPr>
      <w:r>
        <w:t xml:space="preserve">Headcount growth trends</w:t>
      </w:r>
    </w:p>
    <w:p>
      <w:pPr>
        <w:pStyle w:val="Compact"/>
        <w:numPr>
          <w:ilvl w:val="0"/>
          <w:numId w:val="1003"/>
        </w:numPr>
      </w:pPr>
      <w:r>
        <w:t xml:space="preserve">Hiring trends</w:t>
      </w:r>
    </w:p>
    <w:p>
      <w:pPr>
        <w:pStyle w:val="Compact"/>
        <w:numPr>
          <w:ilvl w:val="0"/>
          <w:numId w:val="1003"/>
        </w:numPr>
      </w:pPr>
      <w:r>
        <w:t xml:space="preserve">Workforce expansion rates</w:t>
      </w:r>
    </w:p>
    <w:p>
      <w:pPr>
        <w:pStyle w:val="Compact"/>
        <w:numPr>
          <w:ilvl w:val="0"/>
          <w:numId w:val="1003"/>
        </w:numPr>
      </w:pPr>
      <w:r>
        <w:t xml:space="preserve">Seasonal turnover patterns</w:t>
      </w:r>
    </w:p>
    <w:bookmarkEnd w:id="29"/>
    <w:bookmarkStart w:id="30" w:name="business-risk-1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Trend analysis is unavailable.</w:t>
      </w:r>
    </w:p>
    <w:bookmarkEnd w:id="30"/>
    <w:bookmarkStart w:id="31" w:name="future-improvement"/>
    <w:p>
      <w:pPr>
        <w:pStyle w:val="Heading3"/>
      </w:pPr>
      <w:r>
        <w:t xml:space="preserve">Future Improvement</w:t>
      </w:r>
    </w:p>
    <w:p>
      <w:pPr>
        <w:pStyle w:val="FirstParagraph"/>
      </w:pPr>
      <w:r>
        <w:t xml:space="preserve">Collect monthly HR workforce snapshots.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5853b25dc3afc0d99aa964ac33e49e3605f71c8"/>
    <w:p>
      <w:pPr>
        <w:pStyle w:val="Heading2"/>
      </w:pPr>
      <w:r>
        <w:t xml:space="preserve">LIM-03 Attrition Timing Cannot Be Determined</w:t>
      </w:r>
    </w:p>
    <w:bookmarkStart w:id="33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dataset contains employee exits but does not provide sufficient workforce snapshots to calculate attrition during specific periods.</w:t>
      </w:r>
    </w:p>
    <w:bookmarkEnd w:id="33"/>
    <w:bookmarkStart w:id="34" w:name="impact-2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The dashboard cannot answer:</w:t>
      </w:r>
    </w:p>
    <w:p>
      <w:pPr>
        <w:pStyle w:val="Compact"/>
        <w:numPr>
          <w:ilvl w:val="0"/>
          <w:numId w:val="1004"/>
        </w:numPr>
      </w:pPr>
      <w:r>
        <w:t xml:space="preserve">Was attrition improving?</w:t>
      </w:r>
    </w:p>
    <w:p>
      <w:pPr>
        <w:pStyle w:val="Compact"/>
        <w:numPr>
          <w:ilvl w:val="0"/>
          <w:numId w:val="1004"/>
        </w:numPr>
      </w:pPr>
      <w:r>
        <w:t xml:space="preserve">Was attrition worsening?</w:t>
      </w:r>
    </w:p>
    <w:p>
      <w:pPr>
        <w:pStyle w:val="Compact"/>
        <w:numPr>
          <w:ilvl w:val="0"/>
          <w:numId w:val="1004"/>
        </w:numPr>
      </w:pPr>
      <w:r>
        <w:t xml:space="preserve">Which year had highest turnover?</w:t>
      </w:r>
    </w:p>
    <w:bookmarkEnd w:id="34"/>
    <w:bookmarkStart w:id="35" w:name="business-risk-2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Time-based workforce planning is limited.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aaa3162428fbe264ed75a9f4d10c4f5678f97b8"/>
    <w:p>
      <w:pPr>
        <w:pStyle w:val="Heading2"/>
      </w:pPr>
      <w:r>
        <w:t xml:space="preserve">LIM-04 Potential Synthetic Dataset Characteristics</w:t>
      </w:r>
    </w:p>
    <w:bookmarkStart w:id="37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Several employee experience metrics show minimal variation between active and attrited employees.</w:t>
      </w:r>
    </w:p>
    <w:p>
      <w:pPr>
        <w:pStyle w:val="BodyText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Attrited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</w:tr>
    </w:tbl>
    <w:bookmarkEnd w:id="37"/>
    <w:bookmarkStart w:id="38" w:name="impact-3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Relationships typically observed in real HR environments may not appear.</w:t>
      </w:r>
    </w:p>
    <w:bookmarkEnd w:id="38"/>
    <w:bookmarkStart w:id="39" w:name="business-risk-3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Employee experience drivers may be underrepresented.</w:t>
      </w:r>
    </w:p>
    <w:bookmarkEnd w:id="39"/>
    <w:bookmarkStart w:id="40" w:name="analyst-note"/>
    <w:p>
      <w:pPr>
        <w:pStyle w:val="Heading3"/>
      </w:pPr>
      <w:r>
        <w:t xml:space="preserve">Analyst Note</w:t>
      </w:r>
    </w:p>
    <w:p>
      <w:pPr>
        <w:pStyle w:val="FirstParagraph"/>
      </w:pPr>
      <w:r>
        <w:t xml:space="preserve">This pattern suggests the dataset may contain synthetic or randomly generated characteristics.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lim-05-long-tenure-attrition-equals-zero"/>
    <w:p>
      <w:pPr>
        <w:pStyle w:val="Heading2"/>
      </w:pPr>
      <w:r>
        <w:t xml:space="preserve">LIM-05 Long-Tenure Attrition Equals Zero</w:t>
      </w:r>
    </w:p>
    <w:bookmarkStart w:id="42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Employees classified as Long Tenure exhibit 0% attrition.</w:t>
      </w:r>
    </w:p>
    <w:bookmarkEnd w:id="42"/>
    <w:bookmarkStart w:id="43" w:name="impact-4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This is highly unusual in real-world organizations.</w:t>
      </w:r>
    </w:p>
    <w:bookmarkEnd w:id="43"/>
    <w:bookmarkStart w:id="44" w:name="business-risk-4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May overstate retention success among experienced employees.</w:t>
      </w:r>
    </w:p>
    <w:bookmarkEnd w:id="44"/>
    <w:bookmarkStart w:id="45" w:name="interpretation-guidance"/>
    <w:p>
      <w:pPr>
        <w:pStyle w:val="Heading3"/>
      </w:pPr>
      <w:r>
        <w:t xml:space="preserve">Interpretation Guidance</w:t>
      </w:r>
    </w:p>
    <w:p>
      <w:pPr>
        <w:pStyle w:val="FirstParagraph"/>
      </w:pPr>
      <w:r>
        <w:t xml:space="preserve">Treat as a dataset-specific observation rather than an industry benchmark.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c50c5b4b954a2e1e4fe0e52d9039bb19e34aea7"/>
    <w:p>
      <w:pPr>
        <w:pStyle w:val="Heading2"/>
      </w:pPr>
      <w:r>
        <w:t xml:space="preserve">LIM-06 Retirement-Age Workforce Distribution</w:t>
      </w:r>
    </w:p>
    <w:bookmarkStart w:id="47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42% of employees are aged 60 or above.</w:t>
      </w:r>
    </w:p>
    <w:bookmarkEnd w:id="47"/>
    <w:bookmarkStart w:id="48" w:name="impact-5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The workforce age profile differs significantly from most organizations.</w:t>
      </w:r>
    </w:p>
    <w:bookmarkEnd w:id="48"/>
    <w:bookmarkStart w:id="49" w:name="business-risk-5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Retirement-related findings may be exaggerated.</w:t>
      </w:r>
    </w:p>
    <w:bookmarkEnd w:id="49"/>
    <w:bookmarkStart w:id="50" w:name="interpretation-guidance-1"/>
    <w:p>
      <w:pPr>
        <w:pStyle w:val="Heading3"/>
      </w:pPr>
      <w:r>
        <w:t xml:space="preserve">Interpretation Guidance</w:t>
      </w:r>
    </w:p>
    <w:p>
      <w:pPr>
        <w:pStyle w:val="FirstParagraph"/>
      </w:pPr>
      <w:r>
        <w:t xml:space="preserve">Focus on succession planning implications rather than exact percentages.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a19f51d3b1799a9b9d22dae9e7896d4fc1937f3"/>
    <w:p>
      <w:pPr>
        <w:pStyle w:val="Heading2"/>
      </w:pPr>
      <w:r>
        <w:t xml:space="preserve">LIM-07 Survey Scores May Not Reflect Real Employee Sentiment</w:t>
      </w:r>
    </w:p>
    <w:bookmarkStart w:id="52" w:name="description-6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Survey-related variables display limited differentiation across employee groups.</w:t>
      </w:r>
    </w:p>
    <w:bookmarkEnd w:id="52"/>
    <w:bookmarkStart w:id="53" w:name="impact-6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The analysis cannot confidently identify:</w:t>
      </w:r>
    </w:p>
    <w:p>
      <w:pPr>
        <w:pStyle w:val="Compact"/>
        <w:numPr>
          <w:ilvl w:val="0"/>
          <w:numId w:val="1005"/>
        </w:numPr>
      </w:pPr>
      <w:r>
        <w:t xml:space="preserve">Satisfaction-driven attrition</w:t>
      </w:r>
    </w:p>
    <w:p>
      <w:pPr>
        <w:pStyle w:val="Compact"/>
        <w:numPr>
          <w:ilvl w:val="0"/>
          <w:numId w:val="1005"/>
        </w:numPr>
      </w:pPr>
      <w:r>
        <w:t xml:space="preserve">Engagement-driven attrition</w:t>
      </w:r>
    </w:p>
    <w:p>
      <w:pPr>
        <w:pStyle w:val="Compact"/>
        <w:numPr>
          <w:ilvl w:val="0"/>
          <w:numId w:val="1005"/>
        </w:numPr>
      </w:pPr>
      <w:r>
        <w:t xml:space="preserve">Work-life balance driven attrition</w:t>
      </w:r>
    </w:p>
    <w:bookmarkEnd w:id="53"/>
    <w:bookmarkStart w:id="54" w:name="business-risk-6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Survey metrics may not represent true workforce sentiment.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lim-08-exit-reasons-may-be-simplified"/>
    <w:p>
      <w:pPr>
        <w:pStyle w:val="Heading2"/>
      </w:pPr>
      <w:r>
        <w:t xml:space="preserve">LIM-08 Exit Reasons May Be Simplified</w:t>
      </w:r>
    </w:p>
    <w:bookmarkStart w:id="56" w:name="description-7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Termination categories appear nearly evenly distributed.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Voluntary</w:t>
      </w:r>
    </w:p>
    <w:p>
      <w:pPr>
        <w:pStyle w:val="Compact"/>
        <w:numPr>
          <w:ilvl w:val="0"/>
          <w:numId w:val="1006"/>
        </w:numPr>
      </w:pPr>
      <w:r>
        <w:t xml:space="preserve">Involuntary</w:t>
      </w:r>
    </w:p>
    <w:p>
      <w:pPr>
        <w:pStyle w:val="Compact"/>
        <w:numPr>
          <w:ilvl w:val="0"/>
          <w:numId w:val="1006"/>
        </w:numPr>
      </w:pPr>
      <w:r>
        <w:t xml:space="preserve">Retirement</w:t>
      </w:r>
    </w:p>
    <w:p>
      <w:pPr>
        <w:pStyle w:val="Compact"/>
        <w:numPr>
          <w:ilvl w:val="0"/>
          <w:numId w:val="1006"/>
        </w:numPr>
      </w:pPr>
      <w:r>
        <w:t xml:space="preserve">Resignation</w:t>
      </w:r>
    </w:p>
    <w:bookmarkEnd w:id="56"/>
    <w:bookmarkStart w:id="57" w:name="impact-7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Root-cause analysis may be less reliable.</w:t>
      </w:r>
    </w:p>
    <w:bookmarkEnd w:id="57"/>
    <w:bookmarkStart w:id="58" w:name="business-risk-7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Specific attrition drivers may be masked.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lim-09-limited-compensation-information"/>
    <w:p>
      <w:pPr>
        <w:pStyle w:val="Heading2"/>
      </w:pPr>
      <w:r>
        <w:t xml:space="preserve">LIM-09 Limited Compensation Information</w:t>
      </w:r>
    </w:p>
    <w:bookmarkStart w:id="60" w:name="description-8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dataset does not contain detailed compensation progression information.</w:t>
      </w:r>
    </w:p>
    <w:bookmarkEnd w:id="60"/>
    <w:bookmarkStart w:id="61" w:name="impact-8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The analysis cannot determine whether employees leave because of:</w:t>
      </w:r>
    </w:p>
    <w:p>
      <w:pPr>
        <w:pStyle w:val="Compact"/>
        <w:numPr>
          <w:ilvl w:val="0"/>
          <w:numId w:val="1007"/>
        </w:numPr>
      </w:pPr>
      <w:r>
        <w:t xml:space="preserve">Salary growth</w:t>
      </w:r>
    </w:p>
    <w:p>
      <w:pPr>
        <w:pStyle w:val="Compact"/>
        <w:numPr>
          <w:ilvl w:val="0"/>
          <w:numId w:val="1007"/>
        </w:numPr>
      </w:pPr>
      <w:r>
        <w:t xml:space="preserve">Compensation competitiveness</w:t>
      </w:r>
    </w:p>
    <w:p>
      <w:pPr>
        <w:pStyle w:val="Compact"/>
        <w:numPr>
          <w:ilvl w:val="0"/>
          <w:numId w:val="1007"/>
        </w:numPr>
      </w:pPr>
      <w:r>
        <w:t xml:space="preserve">Promotion opportunities</w:t>
      </w:r>
    </w:p>
    <w:bookmarkEnd w:id="61"/>
    <w:bookmarkStart w:id="62" w:name="business-risk-8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Compensation-related attrition drivers remain unknown.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12d98286f4a8a0cb86b8e71a2d86b0391b76ce5"/>
    <w:p>
      <w:pPr>
        <w:pStyle w:val="Heading2"/>
      </w:pPr>
      <w:r>
        <w:t xml:space="preserve">LIM-10 Manager Effectiveness Cannot Be Evaluated</w:t>
      </w:r>
    </w:p>
    <w:bookmarkStart w:id="64" w:name="description-9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Manager performance indicators are unavailable.</w:t>
      </w:r>
    </w:p>
    <w:bookmarkEnd w:id="64"/>
    <w:bookmarkStart w:id="65" w:name="impact-9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The dashboard cannot assess:</w:t>
      </w:r>
    </w:p>
    <w:p>
      <w:pPr>
        <w:pStyle w:val="Compact"/>
        <w:numPr>
          <w:ilvl w:val="0"/>
          <w:numId w:val="1008"/>
        </w:numPr>
      </w:pPr>
      <w:r>
        <w:t xml:space="preserve">Manager quality</w:t>
      </w:r>
    </w:p>
    <w:p>
      <w:pPr>
        <w:pStyle w:val="Compact"/>
        <w:numPr>
          <w:ilvl w:val="0"/>
          <w:numId w:val="1008"/>
        </w:numPr>
      </w:pPr>
      <w:r>
        <w:t xml:space="preserve">Team leadership effectiveness</w:t>
      </w:r>
    </w:p>
    <w:p>
      <w:pPr>
        <w:pStyle w:val="Compact"/>
        <w:numPr>
          <w:ilvl w:val="0"/>
          <w:numId w:val="1008"/>
        </w:numPr>
      </w:pPr>
      <w:r>
        <w:t xml:space="preserve">Supervisor-driven attrition</w:t>
      </w:r>
    </w:p>
    <w:bookmarkEnd w:id="65"/>
    <w:bookmarkStart w:id="66" w:name="business-risk-9"/>
    <w:p>
      <w:pPr>
        <w:pStyle w:val="Heading3"/>
      </w:pPr>
      <w:r>
        <w:t xml:space="preserve">Business Risk</w:t>
      </w:r>
    </w:p>
    <w:p>
      <w:pPr>
        <w:pStyle w:val="FirstParagraph"/>
      </w:pPr>
      <w:r>
        <w:t xml:space="preserve">Important attrition drivers may remain hidden.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90" w:name="assumption-register"/>
    <w:p>
      <w:pPr>
        <w:pStyle w:val="Heading1"/>
      </w:pPr>
      <w:r>
        <w:t xml:space="preserve">4. Assumption Register</w:t>
      </w:r>
    </w:p>
    <w:bookmarkStart w:id="71" w:name="asm-01-attrition-definition"/>
    <w:p>
      <w:pPr>
        <w:pStyle w:val="Heading2"/>
      </w:pPr>
      <w:r>
        <w:t xml:space="preserve">ASM-01 Attrition Definition</w:t>
      </w:r>
    </w:p>
    <w:bookmarkStart w:id="69" w:name="assumption"/>
    <w:p>
      <w:pPr>
        <w:pStyle w:val="Heading3"/>
      </w:pPr>
      <w:r>
        <w:t xml:space="preserve">Assumption</w:t>
      </w:r>
    </w:p>
    <w:p>
      <w:pPr>
        <w:pStyle w:val="FirstParagraph"/>
      </w:pPr>
      <w:r>
        <w:t xml:space="preserve">Employees with ExitDate populated are considered attrited.</w:t>
      </w:r>
    </w:p>
    <w:bookmarkEnd w:id="69"/>
    <w:bookmarkStart w:id="70" w:name="business-rule"/>
    <w:p>
      <w:pPr>
        <w:pStyle w:val="Heading3"/>
      </w:pPr>
      <w:r>
        <w:t xml:space="preserve">Business Rule</w:t>
      </w:r>
    </w:p>
    <w:p>
      <w:pPr>
        <w:pStyle w:val="FirstParagraph"/>
      </w:pPr>
      <w:r>
        <w:t xml:space="preserve">ExitDate Present = Attrition YES</w:t>
      </w:r>
    </w:p>
    <w:p>
      <w:pPr>
        <w:pStyle w:val="BodyText"/>
      </w:pPr>
      <w:r>
        <w:t xml:space="preserve">ExitDate Blank = Attrition NO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X5a2d7badf7cf31bf1c7948203e98f9e99c6550a"/>
    <w:p>
      <w:pPr>
        <w:pStyle w:val="Heading2"/>
      </w:pPr>
      <w:r>
        <w:t xml:space="preserve">ASM-02 Active Employee Tenure Calculation</w:t>
      </w:r>
    </w:p>
    <w:bookmarkStart w:id="72" w:name="assumption-1"/>
    <w:p>
      <w:pPr>
        <w:pStyle w:val="Heading3"/>
      </w:pPr>
      <w:r>
        <w:t xml:space="preserve">Assumption</w:t>
      </w:r>
    </w:p>
    <w:p>
      <w:pPr>
        <w:pStyle w:val="FirstParagraph"/>
      </w:pPr>
      <w:r>
        <w:t xml:space="preserve">Active employee tenure is calculated using:</w:t>
      </w:r>
    </w:p>
    <w:p>
      <w:pPr>
        <w:pStyle w:val="BodyText"/>
      </w:pPr>
      <w:r>
        <w:t xml:space="preserve">Reference Date – Start Date</w:t>
      </w:r>
    </w:p>
    <w:bookmarkEnd w:id="72"/>
    <w:bookmarkStart w:id="73" w:name="reason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ExitDate is unavailable for active employees.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asm-03-tenure-band-classification"/>
    <w:p>
      <w:pPr>
        <w:pStyle w:val="Heading2"/>
      </w:pPr>
      <w:r>
        <w:t xml:space="preserve">ASM-03 Tenure Band Classification</w:t>
      </w:r>
    </w:p>
    <w:bookmarkStart w:id="75" w:name="assumption-2"/>
    <w:p>
      <w:pPr>
        <w:pStyle w:val="Heading3"/>
      </w:pPr>
      <w:r>
        <w:t xml:space="preserve">Assumption</w:t>
      </w:r>
    </w:p>
    <w:p>
      <w:pPr>
        <w:pStyle w:val="FirstParagraph"/>
      </w:pPr>
      <w:r>
        <w:t xml:space="preserve">Employees were grouped using: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Hire</w:t>
            </w:r>
          </w:p>
        </w:tc>
        <w:tc>
          <w:tcPr/>
          <w:p>
            <w:pPr>
              <w:pStyle w:val="Compact"/>
            </w:pPr>
            <w:r>
              <w:t xml:space="preserve">&lt;1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Career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 Career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Tenure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</w:tr>
    </w:tbl>
    <w:bookmarkEnd w:id="75"/>
    <w:bookmarkStart w:id="76" w:name="reason-1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Support lifecycle analysis.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asm-04-workforce-snapshot-validity"/>
    <w:p>
      <w:pPr>
        <w:pStyle w:val="Heading2"/>
      </w:pPr>
      <w:r>
        <w:t xml:space="preserve">ASM-04 Workforce Snapshot Validity</w:t>
      </w:r>
    </w:p>
    <w:bookmarkStart w:id="78" w:name="assumption-3"/>
    <w:p>
      <w:pPr>
        <w:pStyle w:val="Heading3"/>
      </w:pPr>
      <w:r>
        <w:t xml:space="preserve">Assumption</w:t>
      </w:r>
    </w:p>
    <w:p>
      <w:pPr>
        <w:pStyle w:val="FirstParagraph"/>
      </w:pPr>
      <w:r>
        <w:t xml:space="preserve">The dataset reasonably represents an organization’s workforce structure.</w:t>
      </w:r>
    </w:p>
    <w:bookmarkEnd w:id="78"/>
    <w:bookmarkStart w:id="79" w:name="reason-2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Required to perform workforce analytics.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X8fc2e715a79b5add001c797162cc9e9c03c5b36"/>
    <w:p>
      <w:pPr>
        <w:pStyle w:val="Heading2"/>
      </w:pPr>
      <w:r>
        <w:t xml:space="preserve">ASM-05 Survey Scores Are Treated as Accurate</w:t>
      </w:r>
    </w:p>
    <w:bookmarkStart w:id="81" w:name="assumption-4"/>
    <w:p>
      <w:pPr>
        <w:pStyle w:val="Heading3"/>
      </w:pPr>
      <w:r>
        <w:t xml:space="preserve">Assumption</w:t>
      </w:r>
    </w:p>
    <w:p>
      <w:pPr>
        <w:pStyle w:val="FirstParagraph"/>
      </w:pPr>
      <w:r>
        <w:t xml:space="preserve">Engagement, Satisfaction, and Work-Life Balance scores are assumed to be valid.</w:t>
      </w:r>
    </w:p>
    <w:bookmarkEnd w:id="81"/>
    <w:bookmarkStart w:id="82" w:name="reason-3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No external validation source exists.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sm-06-department-structure-is-accurate"/>
    <w:p>
      <w:pPr>
        <w:pStyle w:val="Heading2"/>
      </w:pPr>
      <w:r>
        <w:t xml:space="preserve">ASM-06 Department Structure Is Accurate</w:t>
      </w:r>
    </w:p>
    <w:bookmarkStart w:id="84" w:name="assumption-5"/>
    <w:p>
      <w:pPr>
        <w:pStyle w:val="Heading3"/>
      </w:pPr>
      <w:r>
        <w:t xml:space="preserve">Assumption</w:t>
      </w:r>
    </w:p>
    <w:p>
      <w:pPr>
        <w:pStyle w:val="FirstParagraph"/>
      </w:pPr>
      <w:r>
        <w:t xml:space="preserve">Departments, divisions, and job titles reflect actual organizational structures.</w:t>
      </w:r>
    </w:p>
    <w:bookmarkEnd w:id="84"/>
    <w:bookmarkStart w:id="85" w:name="reason-4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Required for segmentation analysis.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asm-07-training-records-are-complete"/>
    <w:p>
      <w:pPr>
        <w:pStyle w:val="Heading2"/>
      </w:pPr>
      <w:r>
        <w:t xml:space="preserve">ASM-07 Training Records Are Complete</w:t>
      </w:r>
    </w:p>
    <w:bookmarkStart w:id="87" w:name="assumption-6"/>
    <w:p>
      <w:pPr>
        <w:pStyle w:val="Heading3"/>
      </w:pPr>
      <w:r>
        <w:t xml:space="preserve">Assumption</w:t>
      </w:r>
    </w:p>
    <w:p>
      <w:pPr>
        <w:pStyle w:val="FirstParagraph"/>
      </w:pPr>
      <w:r>
        <w:t xml:space="preserve">Training data is sufficiently complete for analysis.</w:t>
      </w:r>
    </w:p>
    <w:bookmarkEnd w:id="87"/>
    <w:bookmarkStart w:id="88" w:name="reason-5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No independent source available for verification.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1" w:name="business-interpretation-guidelines"/>
    <w:p>
      <w:pPr>
        <w:pStyle w:val="Heading1"/>
      </w:pPr>
      <w:r>
        <w:t xml:space="preserve">5. Business Interpretation Guidelines</w:t>
      </w:r>
    </w:p>
    <w:p>
      <w:pPr>
        <w:pStyle w:val="FirstParagraph"/>
      </w:pPr>
      <w:r>
        <w:t xml:space="preserve">Stakeholders should use the dashboard to:</w:t>
      </w:r>
    </w:p>
    <w:p>
      <w:pPr>
        <w:pStyle w:val="BodyText"/>
      </w:pPr>
      <w:r>
        <w:t xml:space="preserve">✓ Identify workforce patterns</w:t>
      </w:r>
    </w:p>
    <w:p>
      <w:pPr>
        <w:pStyle w:val="BodyText"/>
      </w:pPr>
      <w:r>
        <w:t xml:space="preserve">✓ Prioritize investigation areas</w:t>
      </w:r>
    </w:p>
    <w:p>
      <w:pPr>
        <w:pStyle w:val="BodyText"/>
      </w:pPr>
      <w:r>
        <w:t xml:space="preserve">✓ Support workforce planning</w:t>
      </w:r>
    </w:p>
    <w:p>
      <w:pPr>
        <w:pStyle w:val="BodyText"/>
      </w:pPr>
      <w:r>
        <w:t xml:space="preserve">✓ Generate retention discussions</w:t>
      </w:r>
    </w:p>
    <w:p>
      <w:pPr>
        <w:pStyle w:val="BodyText"/>
      </w:pPr>
      <w:r>
        <w:t xml:space="preserve">Stakeholders should NOT use the dashboard to:</w:t>
      </w:r>
    </w:p>
    <w:p>
      <w:pPr>
        <w:pStyle w:val="BodyText"/>
      </w:pPr>
      <w:r>
        <w:t xml:space="preserve">✗ Estimate annual turnover</w:t>
      </w:r>
    </w:p>
    <w:p>
      <w:pPr>
        <w:pStyle w:val="BodyText"/>
      </w:pPr>
      <w:r>
        <w:t xml:space="preserve">✗ Predict future attrition</w:t>
      </w:r>
    </w:p>
    <w:p>
      <w:pPr>
        <w:pStyle w:val="BodyText"/>
      </w:pPr>
      <w:r>
        <w:t xml:space="preserve">✗ Infer employee intent</w:t>
      </w:r>
    </w:p>
    <w:p>
      <w:pPr>
        <w:pStyle w:val="BodyText"/>
      </w:pPr>
      <w:r>
        <w:t xml:space="preserve">✗ Determine causal relationships</w:t>
      </w:r>
    </w:p>
    <w:p>
      <w:pPr>
        <w:pStyle w:val="BodyText"/>
      </w:pPr>
      <w:r>
        <w:t xml:space="preserve">✗ Benchmark against industry averages</w:t>
      </w:r>
    </w:p>
    <w:p>
      <w:pPr>
        <w:pStyle w:val="BodyText"/>
      </w:pPr>
      <w:r>
        <w:t xml:space="preserve">without additional supporting data.</w:t>
      </w:r>
    </w:p>
    <w:p>
      <w:r>
        <w:pict>
          <v:rect style="width:0;height:1.5pt" o:hralign="center" o:hrstd="t" o:hr="t"/>
        </w:pict>
      </w:r>
    </w:p>
    <w:bookmarkEnd w:id="91"/>
    <w:bookmarkStart w:id="92" w:name="X9a6b812e0c3d5be8bf42ca7ba06c6f514f959c0"/>
    <w:p>
      <w:pPr>
        <w:pStyle w:val="Heading1"/>
      </w:pPr>
      <w:r>
        <w:t xml:space="preserve">6. Recommendations for Future Data Collection</w:t>
      </w:r>
    </w:p>
    <w:p>
      <w:pPr>
        <w:pStyle w:val="FirstParagraph"/>
      </w:pPr>
      <w:r>
        <w:t xml:space="preserve">To improve future workforce analytics, HR should collect:</w:t>
      </w:r>
    </w:p>
    <w:p>
      <w:pPr>
        <w:pStyle w:val="Compact"/>
        <w:numPr>
          <w:ilvl w:val="0"/>
          <w:numId w:val="1009"/>
        </w:numPr>
      </w:pPr>
      <w:r>
        <w:t xml:space="preserve">Monthly workforce snapshots</w:t>
      </w:r>
    </w:p>
    <w:p>
      <w:pPr>
        <w:pStyle w:val="Compact"/>
        <w:numPr>
          <w:ilvl w:val="0"/>
          <w:numId w:val="1009"/>
        </w:numPr>
      </w:pPr>
      <w:r>
        <w:t xml:space="preserve">Salary progression history</w:t>
      </w:r>
    </w:p>
    <w:p>
      <w:pPr>
        <w:pStyle w:val="Compact"/>
        <w:numPr>
          <w:ilvl w:val="0"/>
          <w:numId w:val="1009"/>
        </w:numPr>
      </w:pPr>
      <w:r>
        <w:t xml:space="preserve">Promotion history</w:t>
      </w:r>
    </w:p>
    <w:p>
      <w:pPr>
        <w:pStyle w:val="Compact"/>
        <w:numPr>
          <w:ilvl w:val="0"/>
          <w:numId w:val="1009"/>
        </w:numPr>
      </w:pPr>
      <w:r>
        <w:t xml:space="preserve">Internal transfer history</w:t>
      </w:r>
    </w:p>
    <w:p>
      <w:pPr>
        <w:pStyle w:val="Compact"/>
        <w:numPr>
          <w:ilvl w:val="0"/>
          <w:numId w:val="1009"/>
        </w:numPr>
      </w:pPr>
      <w:r>
        <w:t xml:space="preserve">Manager performance indicators</w:t>
      </w:r>
    </w:p>
    <w:p>
      <w:pPr>
        <w:pStyle w:val="Compact"/>
        <w:numPr>
          <w:ilvl w:val="0"/>
          <w:numId w:val="1009"/>
        </w:numPr>
      </w:pPr>
      <w:r>
        <w:t xml:space="preserve">Exit interview feedback</w:t>
      </w:r>
    </w:p>
    <w:p>
      <w:pPr>
        <w:pStyle w:val="Compact"/>
        <w:numPr>
          <w:ilvl w:val="0"/>
          <w:numId w:val="1009"/>
        </w:numPr>
      </w:pPr>
      <w:r>
        <w:t xml:space="preserve">Employee pulse survey data</w:t>
      </w:r>
    </w:p>
    <w:p>
      <w:pPr>
        <w:pStyle w:val="Compact"/>
        <w:numPr>
          <w:ilvl w:val="0"/>
          <w:numId w:val="1009"/>
        </w:numPr>
      </w:pPr>
      <w:r>
        <w:t xml:space="preserve">Workforce planning forecasts</w:t>
      </w:r>
    </w:p>
    <w:p>
      <w:r>
        <w:pict>
          <v:rect style="width:0;height:1.5pt" o:hralign="center" o:hrstd="t" o:hr="t"/>
        </w:pict>
      </w:r>
    </w:p>
    <w:bookmarkEnd w:id="92"/>
    <w:bookmarkStart w:id="93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The dataset is suitable for workforce composition analysis, attrition segmentation, tenure analysis, and dashboard development.</w:t>
      </w:r>
    </w:p>
    <w:p>
      <w:pPr>
        <w:pStyle w:val="BodyText"/>
      </w:pPr>
      <w:r>
        <w:t xml:space="preserve">However, several limitations restrict trend analysis, root-cause determination, and predictive workforce insights.</w:t>
      </w:r>
    </w:p>
    <w:p>
      <w:pPr>
        <w:pStyle w:val="BodyText"/>
      </w:pPr>
      <w:r>
        <w:t xml:space="preserve">All findings and recommendations within this project should be interpreted within the context of these documented limitations and assumptions.</w:t>
      </w:r>
    </w:p>
    <w:p>
      <w:pPr>
        <w:pStyle w:val="BodyText"/>
      </w:pPr>
      <w:r>
        <w:t xml:space="preserve">Approved By:</w:t>
      </w:r>
    </w:p>
    <w:p>
      <w:pPr>
        <w:pStyle w:val="BodyText"/>
      </w:pPr>
      <w:r>
        <w:t xml:space="preserve">• Claura (HR Director)</w:t>
      </w:r>
    </w:p>
    <w:p>
      <w:pPr>
        <w:pStyle w:val="BodyText"/>
      </w:pPr>
      <w:r>
        <w:t xml:space="preserve">• Surya (Project Owner)</w:t>
      </w:r>
    </w:p>
    <w:p>
      <w:pPr>
        <w:pStyle w:val="BodyText"/>
      </w:pPr>
      <w:r>
        <w:t xml:space="preserve">• Chandra (Business Analyst)</w:t>
      </w:r>
    </w:p>
    <w:p>
      <w:pPr>
        <w:pStyle w:val="BodyText"/>
      </w:pPr>
      <w:r>
        <w:t xml:space="preserve">• Gayatri (Domain Consultant)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2026-06-04T12:50:28Z</dcterms:created>
  <dcterms:modified xsi:type="dcterms:W3CDTF">2026-06-04T12:50:28Z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