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E6E7A" w:rsidRPr="00780A43" w:rsidRDefault="00780A43">
      <w:pPr>
        <w:pStyle w:val="Heading1"/>
        <w:spacing w:before="420" w:after="150"/>
        <w:jc w:val="center"/>
        <w:rPr>
          <w:rFonts w:ascii="Elephant" w:eastAsia="Geist Sans" w:hAnsi="Elephant" w:cs="Geist Sans"/>
          <w:bCs/>
          <w:color w:val="C00000"/>
          <w:sz w:val="36"/>
          <w:szCs w:val="36"/>
        </w:rPr>
      </w:pPr>
      <w:r w:rsidRPr="00780A43">
        <w:rPr>
          <w:rFonts w:ascii="Elephant" w:hAnsi="Elephant"/>
          <w:bCs/>
          <w:color w:val="C00000"/>
        </w:rPr>
        <w:t xml:space="preserve">CyberShield 360: Design and </w:t>
      </w:r>
      <w:bookmarkStart w:id="0" w:name="_GoBack"/>
      <w:bookmarkEnd w:id="0"/>
      <w:r w:rsidRPr="00780A43">
        <w:rPr>
          <w:rFonts w:ascii="Elephant" w:hAnsi="Elephant"/>
          <w:bCs/>
          <w:color w:val="C00000"/>
        </w:rPr>
        <w:t>Analysis of an AI-Enabled Enterprise Cybersecurity Platform</w:t>
      </w:r>
    </w:p>
    <w:p w:rsidR="009E6E7A" w:rsidRDefault="00780A43">
      <w:pPr>
        <w:spacing w:after="150"/>
        <w:jc w:val="center"/>
        <w:rPr>
          <w:rFonts w:ascii="Geist Sans" w:eastAsia="Geist Sans" w:hAnsi="Geist Sans" w:cs="Geist Sans"/>
          <w:color w:val="181D27"/>
        </w:rPr>
      </w:pPr>
      <w:r>
        <w:rPr>
          <w:b/>
          <w:bCs/>
        </w:rPr>
        <w:t xml:space="preserve">Course: </w:t>
      </w:r>
      <w:r>
        <w:t>Software Engineering and Information Security | Document</w:t>
      </w:r>
      <w:r>
        <w:rPr>
          <w:b/>
          <w:bCs/>
        </w:rPr>
        <w:t xml:space="preserve"> Type: </w:t>
      </w:r>
      <w:r>
        <w:t>Comprehensive Case Study Report | Case</w:t>
      </w:r>
      <w:r>
        <w:rPr>
          <w:b/>
          <w:bCs/>
        </w:rPr>
        <w:t xml:space="preserve"> Study: </w:t>
      </w:r>
      <w:r>
        <w:t>CyberShield 360 Enterprise Cybersecurity Platform</w:t>
      </w:r>
    </w:p>
    <w:p w:rsidR="009E6E7A" w:rsidRDefault="00780A43">
      <w:pPr>
        <w:pStyle w:val="Heading2"/>
        <w:spacing w:before="240" w:after="150"/>
        <w:rPr>
          <w:rFonts w:ascii="Geist Sans" w:eastAsia="Geist Sans" w:hAnsi="Geist Sans" w:cs="Geist Sans"/>
          <w:bCs/>
          <w:color w:val="181D27"/>
          <w:sz w:val="30"/>
          <w:szCs w:val="30"/>
        </w:rPr>
      </w:pPr>
      <w:r>
        <w:rPr>
          <w:bCs/>
        </w:rPr>
        <w:t>Table of Contents</w:t>
      </w:r>
    </w:p>
    <w:p w:rsidR="009E6E7A" w:rsidRDefault="00780A43">
      <w:pPr>
        <w:pStyle w:val="ListParagraph"/>
        <w:numPr>
          <w:ilvl w:val="0"/>
          <w:numId w:val="2"/>
        </w:numPr>
        <w:spacing w:after="150"/>
        <w:rPr>
          <w:rFonts w:ascii="Geist Sans" w:eastAsia="Geist Sans" w:hAnsi="Geist Sans" w:cs="Geist Sans"/>
          <w:color w:val="181D27"/>
        </w:rPr>
      </w:pPr>
      <w:r>
        <w:t>1. Introduction</w:t>
      </w:r>
    </w:p>
    <w:p w:rsidR="009E6E7A" w:rsidRDefault="00780A43">
      <w:pPr>
        <w:pStyle w:val="ListParagraph"/>
        <w:numPr>
          <w:ilvl w:val="0"/>
          <w:numId w:val="2"/>
        </w:numPr>
        <w:spacing w:after="150"/>
        <w:rPr>
          <w:rFonts w:ascii="Geist Sans" w:eastAsia="Geist Sans" w:hAnsi="Geist Sans" w:cs="Geist Sans"/>
          <w:color w:val="181D27"/>
        </w:rPr>
      </w:pPr>
      <w:r>
        <w:t>2. Executive Summary</w:t>
      </w:r>
    </w:p>
    <w:p w:rsidR="009E6E7A" w:rsidRDefault="00780A43">
      <w:pPr>
        <w:pStyle w:val="ListParagraph"/>
        <w:numPr>
          <w:ilvl w:val="0"/>
          <w:numId w:val="2"/>
        </w:numPr>
        <w:spacing w:after="150"/>
        <w:rPr>
          <w:rFonts w:ascii="Geist Sans" w:eastAsia="Geist Sans" w:hAnsi="Geist Sans" w:cs="Geist Sans"/>
          <w:color w:val="181D27"/>
        </w:rPr>
      </w:pPr>
      <w:r>
        <w:t>3. Problem Understanding</w:t>
      </w:r>
    </w:p>
    <w:p w:rsidR="009E6E7A" w:rsidRDefault="00780A43">
      <w:pPr>
        <w:pStyle w:val="ListParagraph"/>
        <w:numPr>
          <w:ilvl w:val="0"/>
          <w:numId w:val="2"/>
        </w:numPr>
        <w:spacing w:after="150"/>
        <w:rPr>
          <w:rFonts w:ascii="Geist Sans" w:eastAsia="Geist Sans" w:hAnsi="Geist Sans" w:cs="Geist Sans"/>
          <w:color w:val="181D27"/>
        </w:rPr>
      </w:pPr>
      <w:r>
        <w:t>4. Stakeholder Analysis and Challenges</w:t>
      </w:r>
    </w:p>
    <w:p w:rsidR="009E6E7A" w:rsidRDefault="00780A43">
      <w:pPr>
        <w:pStyle w:val="ListParagraph"/>
        <w:numPr>
          <w:ilvl w:val="0"/>
          <w:numId w:val="2"/>
        </w:numPr>
        <w:spacing w:after="150"/>
        <w:rPr>
          <w:rFonts w:ascii="Geist Sans" w:eastAsia="Geist Sans" w:hAnsi="Geist Sans" w:cs="Geist Sans"/>
          <w:color w:val="181D27"/>
        </w:rPr>
      </w:pPr>
      <w:r>
        <w:t>5. Current System Analysis</w:t>
      </w:r>
    </w:p>
    <w:p w:rsidR="009E6E7A" w:rsidRDefault="00780A43">
      <w:pPr>
        <w:pStyle w:val="ListParagraph"/>
        <w:numPr>
          <w:ilvl w:val="0"/>
          <w:numId w:val="2"/>
        </w:numPr>
        <w:spacing w:after="150"/>
        <w:rPr>
          <w:rFonts w:ascii="Geist Sans" w:eastAsia="Geist Sans" w:hAnsi="Geist Sans" w:cs="Geist Sans"/>
          <w:color w:val="181D27"/>
        </w:rPr>
      </w:pPr>
      <w:r>
        <w:t>6. Proposed CyberShield 360 Solution</w:t>
      </w:r>
    </w:p>
    <w:p w:rsidR="009E6E7A" w:rsidRDefault="00780A43">
      <w:pPr>
        <w:pStyle w:val="ListParagraph"/>
        <w:numPr>
          <w:ilvl w:val="0"/>
          <w:numId w:val="2"/>
        </w:numPr>
        <w:spacing w:after="150"/>
        <w:rPr>
          <w:rFonts w:ascii="Geist Sans" w:eastAsia="Geist Sans" w:hAnsi="Geist Sans" w:cs="Geist Sans"/>
          <w:color w:val="181D27"/>
        </w:rPr>
      </w:pPr>
      <w:r>
        <w:t>7. SDLC / Methodology J</w:t>
      </w:r>
      <w:r>
        <w:t>ustification</w:t>
      </w:r>
    </w:p>
    <w:p w:rsidR="009E6E7A" w:rsidRDefault="00780A43">
      <w:pPr>
        <w:pStyle w:val="ListParagraph"/>
        <w:numPr>
          <w:ilvl w:val="0"/>
          <w:numId w:val="2"/>
        </w:numPr>
        <w:spacing w:after="150"/>
        <w:rPr>
          <w:rFonts w:ascii="Geist Sans" w:eastAsia="Geist Sans" w:hAnsi="Geist Sans" w:cs="Geist Sans"/>
          <w:color w:val="181D27"/>
        </w:rPr>
      </w:pPr>
      <w:r>
        <w:t>8. Expected Outcomes, Risks, and Limitations</w:t>
      </w:r>
    </w:p>
    <w:p w:rsidR="009E6E7A" w:rsidRDefault="00780A43">
      <w:pPr>
        <w:pStyle w:val="ListParagraph"/>
        <w:numPr>
          <w:ilvl w:val="0"/>
          <w:numId w:val="2"/>
        </w:numPr>
        <w:spacing w:after="150"/>
        <w:rPr>
          <w:rFonts w:ascii="Geist Sans" w:eastAsia="Geist Sans" w:hAnsi="Geist Sans" w:cs="Geist Sans"/>
          <w:color w:val="181D27"/>
        </w:rPr>
      </w:pPr>
      <w:r>
        <w:t>9. Conclusion</w:t>
      </w:r>
    </w:p>
    <w:p w:rsidR="009E6E7A" w:rsidRDefault="00780A43">
      <w:pPr>
        <w:pStyle w:val="Heading2"/>
        <w:spacing w:before="240" w:after="150"/>
        <w:rPr>
          <w:rFonts w:ascii="Geist Sans" w:eastAsia="Geist Sans" w:hAnsi="Geist Sans" w:cs="Geist Sans"/>
          <w:bCs/>
          <w:color w:val="181D27"/>
          <w:sz w:val="30"/>
          <w:szCs w:val="30"/>
        </w:rPr>
      </w:pPr>
      <w:r>
        <w:rPr>
          <w:bCs/>
        </w:rPr>
        <w:t>1. Introduction</w:t>
      </w:r>
    </w:p>
    <w:p w:rsidR="009E6E7A" w:rsidRDefault="00780A43">
      <w:pPr>
        <w:spacing w:after="150"/>
        <w:rPr>
          <w:rFonts w:ascii="Geist Sans" w:eastAsia="Geist Sans" w:hAnsi="Geist Sans" w:cs="Geist Sans"/>
          <w:color w:val="181D27"/>
        </w:rPr>
      </w:pPr>
      <w:r>
        <w:t xml:space="preserve">Cybersecurity has become a foundational concern for contemporary enterprises operating in hybrid environments that span corporate data centers, public cloud platforms, </w:t>
      </w:r>
      <w:r>
        <w:t>remote endpoints, and third-party services. As digital transformation accelerates, organizations generate unprecedented volumes of security-relevant data and face increasingly sophisticated adversaries who exploit this complexity. In this context, traditio</w:t>
      </w:r>
      <w:r>
        <w:t xml:space="preserve">nal signature-based tools and isolated point solutions struggle to provide timely, end-to-end protection. CyberShield 360 is conceived </w:t>
      </w:r>
      <w:r>
        <w:lastRenderedPageBreak/>
        <w:t>as an AI-enabled, enterprise-grade cybersecurity platform that aims to address these challenges through unified monitorin</w:t>
      </w:r>
      <w:r>
        <w:t>g, intelligent threat detection, and orchestrated incident response.</w:t>
      </w:r>
    </w:p>
    <w:p w:rsidR="009E6E7A" w:rsidRDefault="00780A43">
      <w:pPr>
        <w:spacing w:after="150"/>
        <w:rPr>
          <w:rFonts w:ascii="Geist Sans" w:eastAsia="Geist Sans" w:hAnsi="Geist Sans" w:cs="Geist Sans"/>
          <w:color w:val="181D27"/>
        </w:rPr>
      </w:pPr>
      <w:r>
        <w:t>From a software engineering perspective, CyberShield 360 represents a complex socio-technical system that must reconcile heterogeneous technical requirements (e.g., scalability, reliabili</w:t>
      </w:r>
      <w:r>
        <w:t>ty, and security) with organizational needs (e.g., governance, compliance, and analyst usability). This report adopts an academic case study lens to examine the platform’s design and analysis, with particular emphasis on problem framing, stakeholder perspe</w:t>
      </w:r>
      <w:r>
        <w:t>ctives, system requirements, and methodology selection.</w:t>
      </w:r>
    </w:p>
    <w:p w:rsidR="009E6E7A" w:rsidRDefault="00780A43">
      <w:pPr>
        <w:pStyle w:val="ListParagraph"/>
        <w:numPr>
          <w:ilvl w:val="0"/>
          <w:numId w:val="2"/>
        </w:numPr>
        <w:spacing w:after="150"/>
        <w:rPr>
          <w:rFonts w:ascii="Geist Sans" w:eastAsia="Geist Sans" w:hAnsi="Geist Sans" w:cs="Geist Sans"/>
          <w:color w:val="181D27"/>
        </w:rPr>
      </w:pPr>
      <w:r>
        <w:rPr>
          <w:b/>
          <w:bCs/>
        </w:rPr>
        <w:t xml:space="preserve">Focus: </w:t>
      </w:r>
      <w:r>
        <w:t>Design and analysis of an enterprise-grade, ML-enabled security monitoring and response platform for heterogeneous on‑premise and cloud infrastructures, positioned as a central hub for Security</w:t>
      </w:r>
      <w:r>
        <w:t xml:space="preserve"> Operations Center (SOC) activities.</w:t>
      </w:r>
    </w:p>
    <w:p w:rsidR="009E6E7A" w:rsidRDefault="00780A43">
      <w:pPr>
        <w:pStyle w:val="ListParagraph"/>
        <w:numPr>
          <w:ilvl w:val="0"/>
          <w:numId w:val="2"/>
        </w:numPr>
        <w:spacing w:after="150"/>
        <w:rPr>
          <w:rFonts w:ascii="Geist Sans" w:eastAsia="Geist Sans" w:hAnsi="Geist Sans" w:cs="Geist Sans"/>
          <w:color w:val="181D27"/>
        </w:rPr>
      </w:pPr>
      <w:r>
        <w:rPr>
          <w:b/>
          <w:bCs/>
        </w:rPr>
        <w:t xml:space="preserve">Scope (in scope): </w:t>
      </w:r>
      <w:r>
        <w:t>Conceptual design of the CyberShield 360 platform, including problem definition, stakeholder and requirement mapping, high-level architecture, methodology justification, and qualitative assessment of e</w:t>
      </w:r>
      <w:r>
        <w:t>xpected outcomes, risks, and limitations.</w:t>
      </w:r>
    </w:p>
    <w:p w:rsidR="009E6E7A" w:rsidRDefault="00780A43">
      <w:pPr>
        <w:pStyle w:val="Heading2"/>
        <w:spacing w:before="240" w:after="150"/>
        <w:rPr>
          <w:rFonts w:ascii="Geist Sans" w:eastAsia="Geist Sans" w:hAnsi="Geist Sans" w:cs="Geist Sans"/>
          <w:bCs/>
          <w:color w:val="181D27"/>
          <w:sz w:val="30"/>
          <w:szCs w:val="30"/>
        </w:rPr>
      </w:pPr>
      <w:r>
        <w:t>2. Executive Summary</w:t>
      </w:r>
    </w:p>
    <w:p w:rsidR="009E6E7A" w:rsidRDefault="00780A43">
      <w:pPr>
        <w:pStyle w:val="ListParagraph"/>
        <w:numPr>
          <w:ilvl w:val="0"/>
          <w:numId w:val="2"/>
        </w:numPr>
        <w:spacing w:after="150"/>
        <w:rPr>
          <w:rFonts w:ascii="Geist Sans" w:eastAsia="Geist Sans" w:hAnsi="Geist Sans" w:cs="Geist Sans"/>
          <w:color w:val="181D27"/>
        </w:rPr>
      </w:pPr>
      <w:r>
        <w:rPr>
          <w:b/>
          <w:bCs/>
        </w:rPr>
        <w:t xml:space="preserve">Scope (out of scope): </w:t>
      </w:r>
      <w:r>
        <w:t xml:space="preserve">Low-level implementation details, exact algorithms and model parameters, quantitative evaluation metrics, and organization-specific deployment roadmaps are not specified, </w:t>
      </w:r>
      <w:r>
        <w:t>as the emphasis remains on conceptual design and academic analysis.</w:t>
      </w:r>
    </w:p>
    <w:p w:rsidR="009E6E7A" w:rsidRDefault="00780A43">
      <w:pPr>
        <w:spacing w:after="150"/>
        <w:rPr>
          <w:rFonts w:ascii="Geist Sans" w:eastAsia="Geist Sans" w:hAnsi="Geist Sans" w:cs="Geist Sans"/>
          <w:color w:val="181D27"/>
        </w:rPr>
      </w:pPr>
      <w:r>
        <w:t>CyberShield 360 addresses the growing complexity and scale of cybersecurity threats faced by enterprises operating hybrid infrastructures. The current landscape is characterized by fragmen</w:t>
      </w:r>
      <w:r>
        <w:t>ted tools, delayed detection, and manual-intensive incident handling. This report argues that an integrated platform such as CyberShield 360, combining continuous monitoring, machine-learning-based detection, and automated workflows, can significantly impr</w:t>
      </w:r>
      <w:r>
        <w:t xml:space="preserve">ove threat visibility, </w:t>
      </w:r>
      <w:r>
        <w:lastRenderedPageBreak/>
        <w:t>response speed, and compliance assurance, provided that it is developed using a disciplined, security-focused software development life cycle (SDLC).</w:t>
      </w:r>
    </w:p>
    <w:p w:rsidR="009E6E7A" w:rsidRDefault="00780A43">
      <w:pPr>
        <w:pStyle w:val="Heading2"/>
        <w:spacing w:before="240" w:after="150"/>
        <w:rPr>
          <w:rFonts w:ascii="Geist Sans" w:eastAsia="Geist Sans" w:hAnsi="Geist Sans" w:cs="Geist Sans"/>
          <w:bCs/>
          <w:color w:val="181D27"/>
          <w:sz w:val="30"/>
          <w:szCs w:val="30"/>
        </w:rPr>
      </w:pPr>
      <w:r>
        <w:rPr>
          <w:bCs/>
        </w:rPr>
        <w:t>2. Executive Summary</w:t>
      </w:r>
    </w:p>
    <w:p w:rsidR="009E6E7A" w:rsidRDefault="00780A43">
      <w:pPr>
        <w:spacing w:after="150"/>
        <w:rPr>
          <w:rFonts w:ascii="Geist Sans" w:eastAsia="Geist Sans" w:hAnsi="Geist Sans" w:cs="Geist Sans"/>
          <w:color w:val="181D27"/>
        </w:rPr>
      </w:pPr>
      <w:r>
        <w:t>This case study analyzes CyberShield 360, a proposed AI-driven</w:t>
      </w:r>
      <w:r>
        <w:t xml:space="preserve"> cybersecurity platform intended to strengthen enterprise defenses against modern, large-scale, and evolving cyber threats. The central problem addressed is the inability of conventional, largely signature-based and siloed security tools to correlate heter</w:t>
      </w:r>
      <w:r>
        <w:t>ogeneous logs, detect complex attack patterns, and coordinate timely incident response within hybrid infrastructures. Organizations face operational bottlenecks, incomplete visibility, and increasing regulatory pressure, all of which create a compelling ne</w:t>
      </w:r>
      <w:r>
        <w:t>ed for a more integrated and intelligent security operations capability.</w:t>
      </w:r>
    </w:p>
    <w:p w:rsidR="009E6E7A" w:rsidRDefault="00780A43">
      <w:pPr>
        <w:spacing w:after="150"/>
        <w:rPr>
          <w:rFonts w:ascii="Geist Sans" w:eastAsia="Geist Sans" w:hAnsi="Geist Sans" w:cs="Geist Sans"/>
          <w:color w:val="181D27"/>
        </w:rPr>
      </w:pPr>
      <w:r>
        <w:t>CyberShield 360 is proposed as a unified platform that aggregates telemetry from networks, endpoints, and cloud services; applies machine-learning-based analytics to identify anomalou</w:t>
      </w:r>
      <w:r>
        <w:t>s behavior and known attack techniques; and provides orchestration mechanisms for automated and semi-automated incident response. The platform is positioned as the primary working interface for SOC analysts while simultaneously offering strategic oversight</w:t>
      </w:r>
      <w:r>
        <w:t xml:space="preserve"> dashboards for executive management and structured evidence for compliance and audit stakeholders.</w:t>
      </w:r>
    </w:p>
    <w:p w:rsidR="009E6E7A" w:rsidRDefault="00780A43">
      <w:pPr>
        <w:pStyle w:val="ListParagraph"/>
        <w:numPr>
          <w:ilvl w:val="0"/>
          <w:numId w:val="2"/>
        </w:numPr>
        <w:spacing w:after="150"/>
        <w:rPr>
          <w:rFonts w:ascii="Geist Sans" w:eastAsia="Geist Sans" w:hAnsi="Geist Sans" w:cs="Geist Sans"/>
          <w:color w:val="181D27"/>
        </w:rPr>
      </w:pPr>
      <w:r>
        <w:rPr>
          <w:b/>
          <w:bCs/>
        </w:rPr>
        <w:t xml:space="preserve">Solution: </w:t>
      </w:r>
      <w:r>
        <w:t>CyberShield 360 as a unified monitoring, detection, and automated response platform aligned with functional and non-functional requirements.</w:t>
      </w:r>
    </w:p>
    <w:p w:rsidR="009E6E7A" w:rsidRDefault="00780A43">
      <w:pPr>
        <w:spacing w:after="150"/>
        <w:rPr>
          <w:rFonts w:ascii="Geist Sans" w:eastAsia="Geist Sans" w:hAnsi="Geist Sans" w:cs="Geist Sans"/>
          <w:color w:val="181D27"/>
        </w:rPr>
      </w:pPr>
      <w:r>
        <w:t xml:space="preserve">From </w:t>
      </w:r>
      <w:r>
        <w:t>a methodological standpoint, the report justifies the use of an Agile Scrum–oriented SDLC enriched with security-by-design practices. This choice reflects the inherently dynamic nature of the cyber threat landscape and the need for continuous refinement of</w:t>
      </w:r>
      <w:r>
        <w:t xml:space="preserve"> detection models, response playbooks, and integrations. In contrast, more rigid, linear methodologies such as Waterfall are argued to be less suitable for systems where requirements evolve rapidly in response to new vulnerabilities, attack vectors, and re</w:t>
      </w:r>
      <w:r>
        <w:t>gulatory expectations.</w:t>
      </w:r>
    </w:p>
    <w:p w:rsidR="009E6E7A" w:rsidRDefault="00780A43">
      <w:pPr>
        <w:pStyle w:val="ListParagraph"/>
        <w:numPr>
          <w:ilvl w:val="0"/>
          <w:numId w:val="2"/>
        </w:numPr>
        <w:spacing w:after="150"/>
        <w:rPr>
          <w:rFonts w:ascii="Geist Sans" w:eastAsia="Geist Sans" w:hAnsi="Geist Sans" w:cs="Geist Sans"/>
          <w:color w:val="181D27"/>
        </w:rPr>
      </w:pPr>
      <w:r>
        <w:rPr>
          <w:b/>
          <w:bCs/>
        </w:rPr>
        <w:lastRenderedPageBreak/>
        <w:t xml:space="preserve">Methodology: </w:t>
      </w:r>
      <w:r>
        <w:t>An iterative, risk-driven SDLC (e.g., Agile with security-by-design practices) to accommodate evolving threats while maintaining compliance.</w:t>
      </w:r>
    </w:p>
    <w:p w:rsidR="009E6E7A" w:rsidRDefault="00780A43">
      <w:pPr>
        <w:spacing w:after="150"/>
        <w:rPr>
          <w:rFonts w:ascii="Geist Sans" w:eastAsia="Geist Sans" w:hAnsi="Geist Sans" w:cs="Geist Sans"/>
          <w:color w:val="181D27"/>
        </w:rPr>
      </w:pPr>
      <w:r>
        <w:t>The expected impact of CyberShield 360 is multi-dimensional. Operationally, the platform aims to reduce alert fatigue, accelerate detection and containment, and standardize incident handling through codified workflows. Strategically, it promises improved v</w:t>
      </w:r>
      <w:r>
        <w:t>isibility into organizational risk posture, more effective governance, and smoother compliance reporting. At the same time, the report acknowledges important limitations and risks, including dependence on high-quality data, potential model drift, integrati</w:t>
      </w:r>
      <w:r>
        <w:t>on complexity, and ethical and privacy considerations that must be addressed through careful design and governance.</w:t>
      </w:r>
    </w:p>
    <w:p w:rsidR="009E6E7A" w:rsidRDefault="00780A43">
      <w:pPr>
        <w:pStyle w:val="ListParagraph"/>
        <w:numPr>
          <w:ilvl w:val="0"/>
          <w:numId w:val="2"/>
        </w:numPr>
        <w:spacing w:after="150"/>
        <w:rPr>
          <w:rFonts w:ascii="Geist Sans" w:eastAsia="Geist Sans" w:hAnsi="Geist Sans" w:cs="Geist Sans"/>
          <w:color w:val="181D27"/>
        </w:rPr>
      </w:pPr>
      <w:r>
        <w:rPr>
          <w:b/>
          <w:bCs/>
        </w:rPr>
        <w:t xml:space="preserve">Outcomes: </w:t>
      </w:r>
      <w:r>
        <w:t>Improved incident detection and response, higher reliability and scalability, enhanced regulatory compliance, with acknowledged li</w:t>
      </w:r>
      <w:r>
        <w:t>mitations around data quality, model drift, and organizational readiness.</w:t>
      </w:r>
    </w:p>
    <w:p w:rsidR="009E6E7A" w:rsidRDefault="00780A43">
      <w:pPr>
        <w:pStyle w:val="ListParagraph"/>
        <w:numPr>
          <w:ilvl w:val="0"/>
          <w:numId w:val="2"/>
        </w:numPr>
        <w:spacing w:after="150"/>
        <w:rPr>
          <w:rFonts w:ascii="Geist Sans" w:eastAsia="Geist Sans" w:hAnsi="Geist Sans" w:cs="Geist Sans"/>
          <w:color w:val="181D27"/>
        </w:rPr>
      </w:pPr>
      <w:r>
        <w:rPr>
          <w:b/>
          <w:bCs/>
        </w:rPr>
        <w:t xml:space="preserve">Problem: </w:t>
      </w:r>
      <w:r>
        <w:t>Organizations struggle to correlate high-volume, heterogeneous security telemetry and respond to sophisticated, multi-stage attacks in near real time using fragmented and la</w:t>
      </w:r>
      <w:r>
        <w:t>rgely rule-based tools.</w:t>
      </w:r>
    </w:p>
    <w:p w:rsidR="009E6E7A" w:rsidRDefault="00780A43">
      <w:pPr>
        <w:pStyle w:val="ListParagraph"/>
        <w:numPr>
          <w:ilvl w:val="0"/>
          <w:numId w:val="2"/>
        </w:numPr>
        <w:spacing w:after="150"/>
        <w:rPr>
          <w:rFonts w:ascii="Geist Sans" w:eastAsia="Geist Sans" w:hAnsi="Geist Sans" w:cs="Geist Sans"/>
          <w:color w:val="181D27"/>
        </w:rPr>
      </w:pPr>
      <w:r>
        <w:rPr>
          <w:b/>
          <w:bCs/>
        </w:rPr>
        <w:t xml:space="preserve">Stakeholders: </w:t>
      </w:r>
      <w:r>
        <w:t>Enterprise management (CISO and senior IT leaders), SOC analysts, IT administrators, compliance and audit officers, end users/employees, third‑party threat intelligence providers, and (where applicable) external custom</w:t>
      </w:r>
      <w:r>
        <w:t>ers who rely on the enterprise’s secure service delivery.</w:t>
      </w:r>
    </w:p>
    <w:p w:rsidR="009E6E7A" w:rsidRDefault="00780A43">
      <w:pPr>
        <w:pStyle w:val="ListParagraph"/>
        <w:numPr>
          <w:ilvl w:val="0"/>
          <w:numId w:val="2"/>
        </w:numPr>
        <w:spacing w:after="150"/>
        <w:rPr>
          <w:rFonts w:ascii="Geist Sans" w:eastAsia="Geist Sans" w:hAnsi="Geist Sans" w:cs="Geist Sans"/>
          <w:color w:val="181D27"/>
        </w:rPr>
      </w:pPr>
      <w:r>
        <w:rPr>
          <w:b/>
          <w:bCs/>
        </w:rPr>
        <w:t xml:space="preserve">Proposed solution: </w:t>
      </w:r>
      <w:r>
        <w:t>CyberShield 360 as a unified monitoring, detection, analytics, and incident‑orchestration platform, explicitly designed around both functional requirements (e.g., monitoring, dete</w:t>
      </w:r>
      <w:r>
        <w:t>ction, automation) and non‑functional requirements (e.g., scalability, reliability, security, usability, and maintainability).</w:t>
      </w:r>
    </w:p>
    <w:p w:rsidR="009E6E7A" w:rsidRDefault="00780A43">
      <w:pPr>
        <w:pStyle w:val="ListParagraph"/>
        <w:numPr>
          <w:ilvl w:val="0"/>
          <w:numId w:val="2"/>
        </w:numPr>
        <w:spacing w:after="150"/>
        <w:rPr>
          <w:rFonts w:ascii="Geist Sans" w:eastAsia="Geist Sans" w:hAnsi="Geist Sans" w:cs="Geist Sans"/>
          <w:color w:val="181D27"/>
        </w:rPr>
      </w:pPr>
      <w:r>
        <w:rPr>
          <w:b/>
          <w:bCs/>
        </w:rPr>
        <w:t xml:space="preserve">Methodology choice: </w:t>
      </w:r>
      <w:r>
        <w:t>Agile Scrum with embedded security-by-design activities and continuous stakeholder feedback, enabling iterative refinement of models, rules, and workflows in response to operational experience and evolving threats.</w:t>
      </w:r>
    </w:p>
    <w:p w:rsidR="009E6E7A" w:rsidRDefault="00780A43">
      <w:pPr>
        <w:pStyle w:val="ListParagraph"/>
        <w:numPr>
          <w:ilvl w:val="0"/>
          <w:numId w:val="2"/>
        </w:numPr>
        <w:spacing w:after="150"/>
        <w:rPr>
          <w:rFonts w:ascii="Geist Sans" w:eastAsia="Geist Sans" w:hAnsi="Geist Sans" w:cs="Geist Sans"/>
          <w:color w:val="181D27"/>
        </w:rPr>
      </w:pPr>
      <w:r>
        <w:rPr>
          <w:b/>
          <w:bCs/>
        </w:rPr>
        <w:lastRenderedPageBreak/>
        <w:t xml:space="preserve">Expected impact: </w:t>
      </w:r>
      <w:r>
        <w:t>Enhanced threat visibili</w:t>
      </w:r>
      <w:r>
        <w:t xml:space="preserve">ty, faster and more consistent incident response, better alignment with regulatory and governance requirements, and a more resilient overall security posture, subject to constraints related to data quality, organizational maturity, and ethical handling of </w:t>
      </w:r>
      <w:r>
        <w:t>security-relevant data.</w:t>
      </w:r>
    </w:p>
    <w:p w:rsidR="009E6E7A" w:rsidRDefault="00780A43">
      <w:pPr>
        <w:pStyle w:val="ListParagraph"/>
        <w:numPr>
          <w:ilvl w:val="0"/>
          <w:numId w:val="2"/>
        </w:numPr>
        <w:spacing w:after="150"/>
        <w:rPr>
          <w:rFonts w:ascii="Geist Sans" w:eastAsia="Geist Sans" w:hAnsi="Geist Sans" w:cs="Geist Sans"/>
          <w:color w:val="181D27"/>
        </w:rPr>
      </w:pPr>
      <w:r>
        <w:rPr>
          <w:b/>
          <w:bCs/>
        </w:rPr>
        <w:t xml:space="preserve">Operational bottlenecks: </w:t>
      </w:r>
      <w:r>
        <w:t>SOC analysts must manually inspect and prioritize large numbers of alerts, leading to delayed or missed incident responses.</w:t>
      </w:r>
    </w:p>
    <w:p w:rsidR="009E6E7A" w:rsidRDefault="00780A43">
      <w:pPr>
        <w:pStyle w:val="ListParagraph"/>
        <w:numPr>
          <w:ilvl w:val="0"/>
          <w:numId w:val="2"/>
        </w:numPr>
        <w:spacing w:after="150"/>
        <w:rPr>
          <w:rFonts w:ascii="Geist Sans" w:eastAsia="Geist Sans" w:hAnsi="Geist Sans" w:cs="Geist Sans"/>
          <w:color w:val="181D27"/>
        </w:rPr>
      </w:pPr>
      <w:r>
        <w:rPr>
          <w:b/>
          <w:bCs/>
        </w:rPr>
        <w:t xml:space="preserve">Compliance pressure: </w:t>
      </w:r>
      <w:r>
        <w:t xml:space="preserve">Organizations must maintain auditable records and demonstrate </w:t>
      </w:r>
      <w:r>
        <w:t>adherence to cybersecurity and data protection regulations.</w:t>
      </w:r>
    </w:p>
    <w:p w:rsidR="009E6E7A" w:rsidRDefault="00780A43">
      <w:pPr>
        <w:pStyle w:val="Heading2"/>
        <w:spacing w:before="240" w:after="150"/>
        <w:rPr>
          <w:rFonts w:ascii="Geist Sans" w:eastAsia="Geist Sans" w:hAnsi="Geist Sans" w:cs="Geist Sans"/>
          <w:bCs/>
          <w:color w:val="181D27"/>
          <w:sz w:val="30"/>
          <w:szCs w:val="30"/>
        </w:rPr>
      </w:pPr>
      <w:r>
        <w:rPr>
          <w:bCs/>
        </w:rPr>
        <w:t>4. Stakeholder Analysis and Challenges</w:t>
      </w:r>
    </w:p>
    <w:p w:rsidR="009E6E7A" w:rsidRDefault="00780A43">
      <w:pPr>
        <w:spacing w:after="150"/>
        <w:rPr>
          <w:rFonts w:ascii="Geist Sans" w:eastAsia="Geist Sans" w:hAnsi="Geist Sans" w:cs="Geist Sans"/>
          <w:color w:val="181D27"/>
        </w:rPr>
      </w:pPr>
      <w:r>
        <w:t>CyberShield 360 intersects with a broad ecosystem of stakeholders whose roles, expectations, and constraints must be explicitly understood for the platform t</w:t>
      </w:r>
      <w:r>
        <w:t>o deliver value. Beyond technical correctness, the success of the system depends on how well it supports day‑to‑day operational work, strategic decision‑making, and compliance obligations, while respecting the rights and responsibilities of employees and e</w:t>
      </w:r>
      <w:r>
        <w:t>xternal parties.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74"/>
        <w:gridCol w:w="2084"/>
        <w:gridCol w:w="4152"/>
      </w:tblGrid>
      <w:tr w:rsidR="009E6E7A">
        <w:trPr>
          <w:tblHeader/>
        </w:trPr>
        <w:tc>
          <w:tcPr>
            <w:tcW w:w="2880" w:type="dxa"/>
            <w:tcBorders>
              <w:top w:val="single" w:sz="6" w:space="0" w:color="E7E7E7"/>
              <w:left w:val="single" w:sz="6" w:space="0" w:color="E7E7E7"/>
              <w:bottom w:val="single" w:sz="6" w:space="0" w:color="E7E7E7"/>
              <w:right w:val="single" w:sz="6" w:space="0" w:color="E7E7E7"/>
            </w:tcBorders>
            <w:shd w:val="clear" w:color="auto" w:fill="F9FAFB"/>
            <w:tcMar>
              <w:top w:w="120" w:type="dxa"/>
              <w:left w:w="180" w:type="dxa"/>
              <w:bottom w:w="120" w:type="dxa"/>
              <w:right w:w="180" w:type="dxa"/>
            </w:tcMar>
          </w:tcPr>
          <w:p w:rsidR="009E6E7A" w:rsidRDefault="00780A43">
            <w:pPr>
              <w:spacing w:before="0" w:after="0"/>
              <w:rPr>
                <w:rFonts w:ascii="Geist Sans" w:eastAsia="Geist Sans" w:hAnsi="Geist Sans" w:cs="Geist Sans"/>
                <w:b/>
                <w:bCs/>
                <w:color w:val="181D27"/>
                <w:sz w:val="21"/>
                <w:szCs w:val="21"/>
              </w:rPr>
            </w:pPr>
            <w:r>
              <w:rPr>
                <w:b/>
                <w:bCs/>
              </w:rPr>
              <w:t>Stakeholder</w:t>
            </w:r>
          </w:p>
        </w:tc>
        <w:tc>
          <w:tcPr>
            <w:tcW w:w="2160" w:type="dxa"/>
            <w:tcBorders>
              <w:top w:val="single" w:sz="6" w:space="0" w:color="E7E7E7"/>
              <w:left w:val="single" w:sz="6" w:space="0" w:color="E7E7E7"/>
              <w:bottom w:val="single" w:sz="6" w:space="0" w:color="E7E7E7"/>
              <w:right w:val="single" w:sz="6" w:space="0" w:color="E7E7E7"/>
            </w:tcBorders>
            <w:shd w:val="clear" w:color="auto" w:fill="F9FAFB"/>
            <w:tcMar>
              <w:top w:w="120" w:type="dxa"/>
              <w:left w:w="180" w:type="dxa"/>
              <w:bottom w:w="120" w:type="dxa"/>
              <w:right w:w="180" w:type="dxa"/>
            </w:tcMar>
          </w:tcPr>
          <w:p w:rsidR="009E6E7A" w:rsidRDefault="00780A43">
            <w:pPr>
              <w:spacing w:before="0" w:after="0"/>
              <w:rPr>
                <w:rFonts w:ascii="Geist Sans" w:eastAsia="Geist Sans" w:hAnsi="Geist Sans" w:cs="Geist Sans"/>
                <w:b/>
                <w:bCs/>
                <w:color w:val="181D27"/>
                <w:sz w:val="21"/>
                <w:szCs w:val="21"/>
              </w:rPr>
            </w:pPr>
            <w:r>
              <w:rPr>
                <w:b/>
                <w:bCs/>
              </w:rPr>
              <w:t>Role</w:t>
            </w:r>
          </w:p>
        </w:tc>
        <w:tc>
          <w:tcPr>
            <w:tcW w:w="4320" w:type="dxa"/>
            <w:tcBorders>
              <w:top w:val="single" w:sz="6" w:space="0" w:color="E7E7E7"/>
              <w:left w:val="single" w:sz="6" w:space="0" w:color="E7E7E7"/>
              <w:bottom w:val="single" w:sz="6" w:space="0" w:color="E7E7E7"/>
              <w:right w:val="single" w:sz="6" w:space="0" w:color="E7E7E7"/>
            </w:tcBorders>
            <w:shd w:val="clear" w:color="auto" w:fill="F9FAFB"/>
            <w:tcMar>
              <w:top w:w="120" w:type="dxa"/>
              <w:left w:w="180" w:type="dxa"/>
              <w:bottom w:w="120" w:type="dxa"/>
              <w:right w:w="180" w:type="dxa"/>
            </w:tcMar>
          </w:tcPr>
          <w:p w:rsidR="009E6E7A" w:rsidRDefault="00780A43">
            <w:pPr>
              <w:spacing w:before="0" w:after="0"/>
              <w:rPr>
                <w:rFonts w:ascii="Geist Sans" w:eastAsia="Geist Sans" w:hAnsi="Geist Sans" w:cs="Geist Sans"/>
                <w:b/>
                <w:bCs/>
                <w:color w:val="181D27"/>
                <w:sz w:val="21"/>
                <w:szCs w:val="21"/>
              </w:rPr>
            </w:pPr>
            <w:r>
              <w:rPr>
                <w:b/>
                <w:bCs/>
              </w:rPr>
              <w:t>Responsibility</w:t>
            </w:r>
          </w:p>
        </w:tc>
      </w:tr>
      <w:tr w:rsidR="009E6E7A">
        <w:tc>
          <w:tcPr>
            <w:tcW w:w="2880" w:type="dxa"/>
            <w:tcBorders>
              <w:top w:val="single" w:sz="6" w:space="0" w:color="E7E7E7"/>
              <w:left w:val="single" w:sz="6" w:space="0" w:color="E7E7E7"/>
              <w:bottom w:val="single" w:sz="6" w:space="0" w:color="E7E7E7"/>
              <w:right w:val="single" w:sz="6" w:space="0" w:color="E7E7E7"/>
            </w:tcBorders>
            <w:shd w:val="clear" w:color="auto" w:fill="FAFAFA"/>
            <w:tcMar>
              <w:top w:w="120" w:type="dxa"/>
              <w:left w:w="180" w:type="dxa"/>
              <w:bottom w:w="120" w:type="dxa"/>
              <w:right w:w="180" w:type="dxa"/>
            </w:tcMar>
          </w:tcPr>
          <w:p w:rsidR="009E6E7A" w:rsidRDefault="00780A43">
            <w:pPr>
              <w:spacing w:before="0" w:after="0"/>
              <w:rPr>
                <w:rFonts w:ascii="Geist Sans" w:eastAsia="Geist Sans" w:hAnsi="Geist Sans" w:cs="Geist Sans"/>
                <w:color w:val="181D27"/>
                <w:sz w:val="21"/>
                <w:szCs w:val="21"/>
              </w:rPr>
            </w:pPr>
            <w:r>
              <w:t>Security Operations Center (SOC)</w:t>
            </w:r>
          </w:p>
        </w:tc>
        <w:tc>
          <w:tcPr>
            <w:tcW w:w="2160" w:type="dxa"/>
            <w:tcBorders>
              <w:top w:val="single" w:sz="6" w:space="0" w:color="E7E7E7"/>
              <w:left w:val="single" w:sz="6" w:space="0" w:color="E7E7E7"/>
              <w:bottom w:val="single" w:sz="6" w:space="0" w:color="E7E7E7"/>
              <w:right w:val="single" w:sz="6" w:space="0" w:color="E7E7E7"/>
            </w:tcBorders>
            <w:shd w:val="clear" w:color="auto" w:fill="FAFAFA"/>
            <w:tcMar>
              <w:top w:w="120" w:type="dxa"/>
              <w:left w:w="180" w:type="dxa"/>
              <w:bottom w:w="120" w:type="dxa"/>
              <w:right w:w="180" w:type="dxa"/>
            </w:tcMar>
          </w:tcPr>
          <w:p w:rsidR="009E6E7A" w:rsidRDefault="00780A43">
            <w:pPr>
              <w:spacing w:before="0" w:after="0"/>
              <w:rPr>
                <w:rFonts w:ascii="Geist Sans" w:eastAsia="Geist Sans" w:hAnsi="Geist Sans" w:cs="Geist Sans"/>
                <w:color w:val="181D27"/>
                <w:sz w:val="21"/>
                <w:szCs w:val="21"/>
              </w:rPr>
            </w:pPr>
            <w:r>
              <w:t>Primary Users</w:t>
            </w:r>
          </w:p>
        </w:tc>
        <w:tc>
          <w:tcPr>
            <w:tcW w:w="4320" w:type="dxa"/>
            <w:tcBorders>
              <w:top w:val="single" w:sz="6" w:space="0" w:color="E7E7E7"/>
              <w:left w:val="single" w:sz="6" w:space="0" w:color="E7E7E7"/>
              <w:bottom w:val="single" w:sz="6" w:space="0" w:color="E7E7E7"/>
              <w:right w:val="single" w:sz="6" w:space="0" w:color="E7E7E7"/>
            </w:tcBorders>
            <w:shd w:val="clear" w:color="auto" w:fill="FAFAFA"/>
            <w:tcMar>
              <w:top w:w="120" w:type="dxa"/>
              <w:left w:w="180" w:type="dxa"/>
              <w:bottom w:w="120" w:type="dxa"/>
              <w:right w:w="180" w:type="dxa"/>
            </w:tcMar>
          </w:tcPr>
          <w:p w:rsidR="009E6E7A" w:rsidRDefault="00780A43">
            <w:pPr>
              <w:spacing w:before="0" w:after="0"/>
              <w:rPr>
                <w:rFonts w:ascii="Geist Sans" w:eastAsia="Geist Sans" w:hAnsi="Geist Sans" w:cs="Geist Sans"/>
                <w:color w:val="181D27"/>
                <w:sz w:val="21"/>
                <w:szCs w:val="21"/>
              </w:rPr>
            </w:pPr>
            <w:r>
              <w:t>Monitor alerts, investigate incidents, and manage real-time response.</w:t>
            </w:r>
          </w:p>
        </w:tc>
      </w:tr>
      <w:tr w:rsidR="009E6E7A">
        <w:tc>
          <w:tcPr>
            <w:tcW w:w="2880" w:type="dxa"/>
            <w:tcBorders>
              <w:top w:val="single" w:sz="6" w:space="0" w:color="E7E7E7"/>
              <w:left w:val="single" w:sz="6" w:space="0" w:color="E7E7E7"/>
              <w:bottom w:val="single" w:sz="6" w:space="0" w:color="E7E7E7"/>
              <w:right w:val="single" w:sz="6" w:space="0" w:color="E7E7E7"/>
            </w:tcBorders>
            <w:tcMar>
              <w:top w:w="120" w:type="dxa"/>
              <w:left w:w="180" w:type="dxa"/>
              <w:bottom w:w="120" w:type="dxa"/>
              <w:right w:w="180" w:type="dxa"/>
            </w:tcMar>
          </w:tcPr>
          <w:p w:rsidR="009E6E7A" w:rsidRDefault="00780A43">
            <w:pPr>
              <w:spacing w:before="0" w:after="0"/>
              <w:rPr>
                <w:rFonts w:ascii="Geist Sans" w:eastAsia="Geist Sans" w:hAnsi="Geist Sans" w:cs="Geist Sans"/>
                <w:color w:val="181D27"/>
                <w:sz w:val="21"/>
                <w:szCs w:val="21"/>
              </w:rPr>
            </w:pPr>
            <w:r>
              <w:t>CISO / IT Management</w:t>
            </w:r>
          </w:p>
        </w:tc>
        <w:tc>
          <w:tcPr>
            <w:tcW w:w="2160" w:type="dxa"/>
            <w:tcBorders>
              <w:top w:val="single" w:sz="6" w:space="0" w:color="E7E7E7"/>
              <w:left w:val="single" w:sz="6" w:space="0" w:color="E7E7E7"/>
              <w:bottom w:val="single" w:sz="6" w:space="0" w:color="E7E7E7"/>
              <w:right w:val="single" w:sz="6" w:space="0" w:color="E7E7E7"/>
            </w:tcBorders>
            <w:tcMar>
              <w:top w:w="120" w:type="dxa"/>
              <w:left w:w="180" w:type="dxa"/>
              <w:bottom w:w="120" w:type="dxa"/>
              <w:right w:w="180" w:type="dxa"/>
            </w:tcMar>
          </w:tcPr>
          <w:p w:rsidR="009E6E7A" w:rsidRDefault="00780A43">
            <w:pPr>
              <w:spacing w:before="0" w:after="0"/>
              <w:rPr>
                <w:rFonts w:ascii="Geist Sans" w:eastAsia="Geist Sans" w:hAnsi="Geist Sans" w:cs="Geist Sans"/>
                <w:color w:val="181D27"/>
                <w:sz w:val="21"/>
                <w:szCs w:val="21"/>
              </w:rPr>
            </w:pPr>
            <w:r>
              <w:t>Strategic Oversight</w:t>
            </w:r>
          </w:p>
        </w:tc>
        <w:tc>
          <w:tcPr>
            <w:tcW w:w="4320" w:type="dxa"/>
            <w:tcBorders>
              <w:top w:val="single" w:sz="6" w:space="0" w:color="E7E7E7"/>
              <w:left w:val="single" w:sz="6" w:space="0" w:color="E7E7E7"/>
              <w:bottom w:val="single" w:sz="6" w:space="0" w:color="E7E7E7"/>
              <w:right w:val="single" w:sz="6" w:space="0" w:color="E7E7E7"/>
            </w:tcBorders>
            <w:tcMar>
              <w:top w:w="120" w:type="dxa"/>
              <w:left w:w="180" w:type="dxa"/>
              <w:bottom w:w="120" w:type="dxa"/>
              <w:right w:w="180" w:type="dxa"/>
            </w:tcMar>
          </w:tcPr>
          <w:p w:rsidR="009E6E7A" w:rsidRDefault="00780A43">
            <w:pPr>
              <w:spacing w:before="0" w:after="0"/>
              <w:rPr>
                <w:rFonts w:ascii="Geist Sans" w:eastAsia="Geist Sans" w:hAnsi="Geist Sans" w:cs="Geist Sans"/>
                <w:color w:val="181D27"/>
                <w:sz w:val="21"/>
                <w:szCs w:val="21"/>
              </w:rPr>
            </w:pPr>
            <w:r>
              <w:t>Define security strategy, manage risk, and ensure regulatory compliance.</w:t>
            </w:r>
          </w:p>
        </w:tc>
      </w:tr>
      <w:tr w:rsidR="009E6E7A">
        <w:tc>
          <w:tcPr>
            <w:tcW w:w="2880" w:type="dxa"/>
            <w:tcBorders>
              <w:top w:val="single" w:sz="6" w:space="0" w:color="E7E7E7"/>
              <w:left w:val="single" w:sz="6" w:space="0" w:color="E7E7E7"/>
              <w:bottom w:val="single" w:sz="6" w:space="0" w:color="E7E7E7"/>
              <w:right w:val="single" w:sz="6" w:space="0" w:color="E7E7E7"/>
            </w:tcBorders>
            <w:shd w:val="clear" w:color="auto" w:fill="FAFAFA"/>
            <w:tcMar>
              <w:top w:w="120" w:type="dxa"/>
              <w:left w:w="180" w:type="dxa"/>
              <w:bottom w:w="120" w:type="dxa"/>
              <w:right w:w="180" w:type="dxa"/>
            </w:tcMar>
          </w:tcPr>
          <w:p w:rsidR="009E6E7A" w:rsidRDefault="00780A43">
            <w:pPr>
              <w:spacing w:before="0" w:after="0"/>
              <w:rPr>
                <w:rFonts w:ascii="Geist Sans" w:eastAsia="Geist Sans" w:hAnsi="Geist Sans" w:cs="Geist Sans"/>
                <w:color w:val="181D27"/>
                <w:sz w:val="21"/>
                <w:szCs w:val="21"/>
              </w:rPr>
            </w:pPr>
            <w:r>
              <w:t>System Administrators</w:t>
            </w:r>
          </w:p>
        </w:tc>
        <w:tc>
          <w:tcPr>
            <w:tcW w:w="2160" w:type="dxa"/>
            <w:tcBorders>
              <w:top w:val="single" w:sz="6" w:space="0" w:color="E7E7E7"/>
              <w:left w:val="single" w:sz="6" w:space="0" w:color="E7E7E7"/>
              <w:bottom w:val="single" w:sz="6" w:space="0" w:color="E7E7E7"/>
              <w:right w:val="single" w:sz="6" w:space="0" w:color="E7E7E7"/>
            </w:tcBorders>
            <w:shd w:val="clear" w:color="auto" w:fill="FAFAFA"/>
            <w:tcMar>
              <w:top w:w="120" w:type="dxa"/>
              <w:left w:w="180" w:type="dxa"/>
              <w:bottom w:w="120" w:type="dxa"/>
              <w:right w:w="180" w:type="dxa"/>
            </w:tcMar>
          </w:tcPr>
          <w:p w:rsidR="009E6E7A" w:rsidRDefault="00780A43">
            <w:pPr>
              <w:spacing w:before="0" w:after="0"/>
              <w:rPr>
                <w:rFonts w:ascii="Geist Sans" w:eastAsia="Geist Sans" w:hAnsi="Geist Sans" w:cs="Geist Sans"/>
                <w:color w:val="181D27"/>
                <w:sz w:val="21"/>
                <w:szCs w:val="21"/>
              </w:rPr>
            </w:pPr>
            <w:r>
              <w:t>Infrastructure Support</w:t>
            </w:r>
          </w:p>
        </w:tc>
        <w:tc>
          <w:tcPr>
            <w:tcW w:w="4320" w:type="dxa"/>
            <w:tcBorders>
              <w:top w:val="single" w:sz="6" w:space="0" w:color="E7E7E7"/>
              <w:left w:val="single" w:sz="6" w:space="0" w:color="E7E7E7"/>
              <w:bottom w:val="single" w:sz="6" w:space="0" w:color="E7E7E7"/>
              <w:right w:val="single" w:sz="6" w:space="0" w:color="E7E7E7"/>
            </w:tcBorders>
            <w:shd w:val="clear" w:color="auto" w:fill="FAFAFA"/>
            <w:tcMar>
              <w:top w:w="120" w:type="dxa"/>
              <w:left w:w="180" w:type="dxa"/>
              <w:bottom w:w="120" w:type="dxa"/>
              <w:right w:w="180" w:type="dxa"/>
            </w:tcMar>
          </w:tcPr>
          <w:p w:rsidR="009E6E7A" w:rsidRDefault="00780A43">
            <w:pPr>
              <w:spacing w:before="0" w:after="0"/>
              <w:rPr>
                <w:rFonts w:ascii="Geist Sans" w:eastAsia="Geist Sans" w:hAnsi="Geist Sans" w:cs="Geist Sans"/>
                <w:color w:val="181D27"/>
                <w:sz w:val="21"/>
                <w:szCs w:val="21"/>
              </w:rPr>
            </w:pPr>
            <w:r>
              <w:t>Maintain network/cloud resources and integrate system logs into the platform.</w:t>
            </w:r>
          </w:p>
        </w:tc>
      </w:tr>
      <w:tr w:rsidR="009E6E7A">
        <w:tc>
          <w:tcPr>
            <w:tcW w:w="2880" w:type="dxa"/>
            <w:tcBorders>
              <w:top w:val="single" w:sz="6" w:space="0" w:color="E7E7E7"/>
              <w:left w:val="single" w:sz="6" w:space="0" w:color="E7E7E7"/>
              <w:bottom w:val="single" w:sz="6" w:space="0" w:color="E7E7E7"/>
              <w:right w:val="single" w:sz="6" w:space="0" w:color="E7E7E7"/>
            </w:tcBorders>
            <w:tcMar>
              <w:top w:w="120" w:type="dxa"/>
              <w:left w:w="180" w:type="dxa"/>
              <w:bottom w:w="120" w:type="dxa"/>
              <w:right w:w="180" w:type="dxa"/>
            </w:tcMar>
          </w:tcPr>
          <w:p w:rsidR="009E6E7A" w:rsidRDefault="00780A43">
            <w:pPr>
              <w:spacing w:before="0" w:after="0"/>
              <w:rPr>
                <w:rFonts w:ascii="Geist Sans" w:eastAsia="Geist Sans" w:hAnsi="Geist Sans" w:cs="Geist Sans"/>
                <w:color w:val="181D27"/>
                <w:sz w:val="21"/>
                <w:szCs w:val="21"/>
              </w:rPr>
            </w:pPr>
            <w:r>
              <w:lastRenderedPageBreak/>
              <w:t>Regulatory Bodies</w:t>
            </w:r>
          </w:p>
        </w:tc>
        <w:tc>
          <w:tcPr>
            <w:tcW w:w="2160" w:type="dxa"/>
            <w:tcBorders>
              <w:top w:val="single" w:sz="6" w:space="0" w:color="E7E7E7"/>
              <w:left w:val="single" w:sz="6" w:space="0" w:color="E7E7E7"/>
              <w:bottom w:val="single" w:sz="6" w:space="0" w:color="E7E7E7"/>
              <w:right w:val="single" w:sz="6" w:space="0" w:color="E7E7E7"/>
            </w:tcBorders>
            <w:tcMar>
              <w:top w:w="120" w:type="dxa"/>
              <w:left w:w="180" w:type="dxa"/>
              <w:bottom w:w="120" w:type="dxa"/>
              <w:right w:w="180" w:type="dxa"/>
            </w:tcMar>
          </w:tcPr>
          <w:p w:rsidR="009E6E7A" w:rsidRDefault="00780A43">
            <w:pPr>
              <w:spacing w:before="0" w:after="0"/>
              <w:rPr>
                <w:rFonts w:ascii="Geist Sans" w:eastAsia="Geist Sans" w:hAnsi="Geist Sans" w:cs="Geist Sans"/>
                <w:color w:val="181D27"/>
                <w:sz w:val="21"/>
                <w:szCs w:val="21"/>
              </w:rPr>
            </w:pPr>
            <w:r>
              <w:t>Compliance Auditors</w:t>
            </w:r>
          </w:p>
        </w:tc>
        <w:tc>
          <w:tcPr>
            <w:tcW w:w="4320" w:type="dxa"/>
            <w:tcBorders>
              <w:top w:val="single" w:sz="6" w:space="0" w:color="E7E7E7"/>
              <w:left w:val="single" w:sz="6" w:space="0" w:color="E7E7E7"/>
              <w:bottom w:val="single" w:sz="6" w:space="0" w:color="E7E7E7"/>
              <w:right w:val="single" w:sz="6" w:space="0" w:color="E7E7E7"/>
            </w:tcBorders>
            <w:tcMar>
              <w:top w:w="120" w:type="dxa"/>
              <w:left w:w="180" w:type="dxa"/>
              <w:bottom w:w="120" w:type="dxa"/>
              <w:right w:w="180" w:type="dxa"/>
            </w:tcMar>
          </w:tcPr>
          <w:p w:rsidR="009E6E7A" w:rsidRDefault="00780A43">
            <w:pPr>
              <w:spacing w:before="0" w:after="0"/>
              <w:rPr>
                <w:rFonts w:ascii="Geist Sans" w:eastAsia="Geist Sans" w:hAnsi="Geist Sans" w:cs="Geist Sans"/>
                <w:color w:val="181D27"/>
                <w:sz w:val="21"/>
                <w:szCs w:val="21"/>
              </w:rPr>
            </w:pPr>
            <w:r>
              <w:t>Ensure the system adheres to legal and industry cybersecurity standards.</w:t>
            </w:r>
          </w:p>
        </w:tc>
      </w:tr>
      <w:tr w:rsidR="009E6E7A">
        <w:tc>
          <w:tcPr>
            <w:tcW w:w="2880" w:type="dxa"/>
            <w:tcBorders>
              <w:top w:val="single" w:sz="6" w:space="0" w:color="E7E7E7"/>
              <w:left w:val="single" w:sz="6" w:space="0" w:color="E7E7E7"/>
              <w:bottom w:val="single" w:sz="6" w:space="0" w:color="E7E7E7"/>
              <w:right w:val="single" w:sz="6" w:space="0" w:color="E7E7E7"/>
            </w:tcBorders>
            <w:shd w:val="clear" w:color="auto" w:fill="FAFAFA"/>
            <w:tcMar>
              <w:top w:w="120" w:type="dxa"/>
              <w:left w:w="180" w:type="dxa"/>
              <w:bottom w:w="120" w:type="dxa"/>
              <w:right w:w="180" w:type="dxa"/>
            </w:tcMar>
          </w:tcPr>
          <w:p w:rsidR="009E6E7A" w:rsidRDefault="00780A43">
            <w:pPr>
              <w:spacing w:before="0" w:after="0"/>
              <w:rPr>
                <w:rFonts w:ascii="Geist Sans" w:eastAsia="Geist Sans" w:hAnsi="Geist Sans" w:cs="Geist Sans"/>
                <w:color w:val="181D27"/>
                <w:sz w:val="21"/>
                <w:szCs w:val="21"/>
              </w:rPr>
            </w:pPr>
            <w:r>
              <w:t>End Users / Employees</w:t>
            </w:r>
          </w:p>
        </w:tc>
        <w:tc>
          <w:tcPr>
            <w:tcW w:w="2160" w:type="dxa"/>
            <w:tcBorders>
              <w:top w:val="single" w:sz="6" w:space="0" w:color="E7E7E7"/>
              <w:left w:val="single" w:sz="6" w:space="0" w:color="E7E7E7"/>
              <w:bottom w:val="single" w:sz="6" w:space="0" w:color="E7E7E7"/>
              <w:right w:val="single" w:sz="6" w:space="0" w:color="E7E7E7"/>
            </w:tcBorders>
            <w:shd w:val="clear" w:color="auto" w:fill="FAFAFA"/>
            <w:tcMar>
              <w:top w:w="120" w:type="dxa"/>
              <w:left w:w="180" w:type="dxa"/>
              <w:bottom w:w="120" w:type="dxa"/>
              <w:right w:w="180" w:type="dxa"/>
            </w:tcMar>
          </w:tcPr>
          <w:p w:rsidR="009E6E7A" w:rsidRDefault="00780A43">
            <w:pPr>
              <w:spacing w:before="0" w:after="0"/>
              <w:rPr>
                <w:rFonts w:ascii="Geist Sans" w:eastAsia="Geist Sans" w:hAnsi="Geist Sans" w:cs="Geist Sans"/>
                <w:color w:val="181D27"/>
                <w:sz w:val="21"/>
                <w:szCs w:val="21"/>
              </w:rPr>
            </w:pPr>
            <w:r>
              <w:t>Data Producers</w:t>
            </w:r>
          </w:p>
        </w:tc>
        <w:tc>
          <w:tcPr>
            <w:tcW w:w="4320" w:type="dxa"/>
            <w:tcBorders>
              <w:top w:val="single" w:sz="6" w:space="0" w:color="E7E7E7"/>
              <w:left w:val="single" w:sz="6" w:space="0" w:color="E7E7E7"/>
              <w:bottom w:val="single" w:sz="6" w:space="0" w:color="E7E7E7"/>
              <w:right w:val="single" w:sz="6" w:space="0" w:color="E7E7E7"/>
            </w:tcBorders>
            <w:shd w:val="clear" w:color="auto" w:fill="FAFAFA"/>
            <w:tcMar>
              <w:top w:w="120" w:type="dxa"/>
              <w:left w:w="180" w:type="dxa"/>
              <w:bottom w:w="120" w:type="dxa"/>
              <w:right w:w="180" w:type="dxa"/>
            </w:tcMar>
          </w:tcPr>
          <w:p w:rsidR="009E6E7A" w:rsidRDefault="00780A43">
            <w:pPr>
              <w:spacing w:before="0" w:after="0"/>
              <w:rPr>
                <w:rFonts w:ascii="Geist Sans" w:eastAsia="Geist Sans" w:hAnsi="Geist Sans" w:cs="Geist Sans"/>
                <w:color w:val="181D27"/>
                <w:sz w:val="21"/>
                <w:szCs w:val="21"/>
              </w:rPr>
            </w:pPr>
            <w:r>
              <w:t>Adhere to security policies and report suspicious activities to the SOC.</w:t>
            </w:r>
          </w:p>
        </w:tc>
      </w:tr>
    </w:tbl>
    <w:p w:rsidR="009E6E7A" w:rsidRDefault="00780A43">
      <w:pPr>
        <w:spacing w:before="240" w:after="240"/>
      </w:pPr>
      <w:r>
        <w:rPr>
          <w:noProof/>
        </w:rPr>
        <w:drawing>
          <wp:inline distT="0" distB="0" distL="0" distR="0">
            <wp:extent cx="5715000" cy="3695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3695700"/>
                    </a:xfrm>
                    <a:prstGeom prst="rect">
                      <a:avLst/>
                    </a:prstGeom>
                  </pic:spPr>
                </pic:pic>
              </a:graphicData>
            </a:graphic>
          </wp:inline>
        </w:drawing>
      </w:r>
    </w:p>
    <w:p w:rsidR="009E6E7A" w:rsidRDefault="00780A43">
      <w:pPr>
        <w:pStyle w:val="ListParagraph"/>
        <w:numPr>
          <w:ilvl w:val="0"/>
          <w:numId w:val="2"/>
        </w:numPr>
        <w:spacing w:after="150"/>
        <w:rPr>
          <w:rFonts w:ascii="Geist Sans" w:eastAsia="Geist Sans" w:hAnsi="Geist Sans" w:cs="Geist Sans"/>
          <w:color w:val="181D27"/>
        </w:rPr>
      </w:pPr>
      <w:r>
        <w:rPr>
          <w:b/>
          <w:bCs/>
        </w:rPr>
        <w:t xml:space="preserve">Security Operations Center (SOC) analysts: </w:t>
      </w:r>
      <w:r>
        <w:t>Primary operational users who monitor dashboards, investigate alerts, conduct incident triage, and initiate or approve response actions. Their concerns include alert accuracy, usability of investigation workflows, reduction of manual tasks, and the ability</w:t>
      </w:r>
      <w:r>
        <w:t xml:space="preserve"> to reconstruct incidents reliably.</w:t>
      </w:r>
    </w:p>
    <w:p w:rsidR="009E6E7A" w:rsidRDefault="00780A43">
      <w:pPr>
        <w:pStyle w:val="ListParagraph"/>
        <w:numPr>
          <w:ilvl w:val="0"/>
          <w:numId w:val="2"/>
        </w:numPr>
        <w:spacing w:after="150"/>
        <w:rPr>
          <w:rFonts w:ascii="Geist Sans" w:eastAsia="Geist Sans" w:hAnsi="Geist Sans" w:cs="Geist Sans"/>
          <w:color w:val="181D27"/>
        </w:rPr>
      </w:pPr>
      <w:r>
        <w:rPr>
          <w:b/>
          <w:bCs/>
        </w:rPr>
        <w:t xml:space="preserve">CISO and enterprise management: </w:t>
      </w:r>
      <w:r>
        <w:t xml:space="preserve">Senior leaders responsible for security strategy, risk appetite, and alignment with business objectives. They require aggregated metrics, trend analyses, and assurance that investments in </w:t>
      </w:r>
      <w:r>
        <w:lastRenderedPageBreak/>
        <w:t>CyberShield 360 translate into measurable improvements in risk reduc</w:t>
      </w:r>
      <w:r>
        <w:t>tion and regulatory compliance.</w:t>
      </w:r>
    </w:p>
    <w:p w:rsidR="009E6E7A" w:rsidRDefault="00780A43">
      <w:pPr>
        <w:pStyle w:val="ListParagraph"/>
        <w:numPr>
          <w:ilvl w:val="0"/>
          <w:numId w:val="2"/>
        </w:numPr>
        <w:spacing w:after="150"/>
        <w:rPr>
          <w:rFonts w:ascii="Geist Sans" w:eastAsia="Geist Sans" w:hAnsi="Geist Sans" w:cs="Geist Sans"/>
          <w:color w:val="181D27"/>
        </w:rPr>
      </w:pPr>
      <w:r>
        <w:rPr>
          <w:b/>
          <w:bCs/>
        </w:rPr>
        <w:t xml:space="preserve">IT and system administrators: </w:t>
      </w:r>
      <w:r>
        <w:t>Owners of underlying networks, servers, endpoints, and cloud resources who deploy agents, configure log forwarding, and manage integrations. Their priorities include minimal performance overhead</w:t>
      </w:r>
      <w:r>
        <w:t>, stable integrations, clear change procedures, and the ability to automate routine containment actions without compromising service availability.</w:t>
      </w:r>
    </w:p>
    <w:p w:rsidR="009E6E7A" w:rsidRDefault="00780A43">
      <w:pPr>
        <w:pStyle w:val="ListParagraph"/>
        <w:numPr>
          <w:ilvl w:val="0"/>
          <w:numId w:val="2"/>
        </w:numPr>
        <w:spacing w:after="150"/>
        <w:rPr>
          <w:rFonts w:ascii="Geist Sans" w:eastAsia="Geist Sans" w:hAnsi="Geist Sans" w:cs="Geist Sans"/>
          <w:color w:val="181D27"/>
        </w:rPr>
      </w:pPr>
      <w:r>
        <w:rPr>
          <w:b/>
          <w:bCs/>
        </w:rPr>
        <w:t xml:space="preserve">Compliance officers and internal/external auditors: </w:t>
      </w:r>
      <w:r>
        <w:t>Stakeholders who evaluate whether monitoring, logging, an</w:t>
      </w:r>
      <w:r>
        <w:t>d incident response processes satisfy legal, regulatory, and internal policy requirements. They focus on audit trails, evidence retention, role-based access control, and the transparency of how security decisions are made and documented within the platform</w:t>
      </w:r>
      <w:r>
        <w:t>.</w:t>
      </w:r>
    </w:p>
    <w:p w:rsidR="009E6E7A" w:rsidRDefault="00780A43">
      <w:pPr>
        <w:pStyle w:val="ListParagraph"/>
        <w:numPr>
          <w:ilvl w:val="0"/>
          <w:numId w:val="2"/>
        </w:numPr>
        <w:spacing w:after="150"/>
        <w:rPr>
          <w:rFonts w:ascii="Geist Sans" w:eastAsia="Geist Sans" w:hAnsi="Geist Sans" w:cs="Geist Sans"/>
          <w:color w:val="181D27"/>
        </w:rPr>
      </w:pPr>
      <w:r>
        <w:rPr>
          <w:b/>
          <w:bCs/>
        </w:rPr>
        <w:t xml:space="preserve">End users / employees: </w:t>
      </w:r>
      <w:r>
        <w:t>Members of the organization whose everyday activities produce much of the security-relevant data. They are affected by security controls such as endpoint monitoring and email filtering, and their concerns include clarity of securit</w:t>
      </w:r>
      <w:r>
        <w:t>y policies, potential impacts on productivity, and the ethical handling of their personal or behavioral data.</w:t>
      </w:r>
    </w:p>
    <w:p w:rsidR="009E6E7A" w:rsidRDefault="00780A43">
      <w:pPr>
        <w:pStyle w:val="ListParagraph"/>
        <w:numPr>
          <w:ilvl w:val="0"/>
          <w:numId w:val="2"/>
        </w:numPr>
        <w:spacing w:after="150"/>
        <w:rPr>
          <w:rFonts w:ascii="Geist Sans" w:eastAsia="Geist Sans" w:hAnsi="Geist Sans" w:cs="Geist Sans"/>
          <w:color w:val="181D27"/>
        </w:rPr>
      </w:pPr>
      <w:r>
        <w:rPr>
          <w:b/>
          <w:bCs/>
        </w:rPr>
        <w:t xml:space="preserve">Third‑party threat intelligence providers: </w:t>
      </w:r>
      <w:r>
        <w:t>External entities that supply indicators of compromise, reputational data, or contextual threat informa</w:t>
      </w:r>
      <w:r>
        <w:t>tion to enhance detection quality. Their integrations must be reliable, timely, and governed by appropriate contractual and security controls.</w:t>
      </w:r>
    </w:p>
    <w:p w:rsidR="009E6E7A" w:rsidRDefault="00780A43">
      <w:pPr>
        <w:pStyle w:val="Heading2"/>
        <w:spacing w:before="240" w:after="150"/>
        <w:rPr>
          <w:rFonts w:ascii="Geist Sans" w:eastAsia="Geist Sans" w:hAnsi="Geist Sans" w:cs="Geist Sans"/>
          <w:bCs/>
          <w:color w:val="181D27"/>
          <w:sz w:val="30"/>
          <w:szCs w:val="30"/>
        </w:rPr>
      </w:pPr>
      <w:r>
        <w:rPr>
          <w:bCs/>
        </w:rPr>
        <w:t>5. Current System Analysis</w:t>
      </w:r>
    </w:p>
    <w:p w:rsidR="009E6E7A" w:rsidRDefault="00780A43">
      <w:pPr>
        <w:pStyle w:val="ListParagraph"/>
        <w:numPr>
          <w:ilvl w:val="0"/>
          <w:numId w:val="2"/>
        </w:numPr>
        <w:spacing w:after="150"/>
        <w:rPr>
          <w:rFonts w:ascii="Geist Sans" w:eastAsia="Geist Sans" w:hAnsi="Geist Sans" w:cs="Geist Sans"/>
          <w:color w:val="181D27"/>
        </w:rPr>
      </w:pPr>
      <w:r>
        <w:rPr>
          <w:b/>
          <w:bCs/>
        </w:rPr>
        <w:t xml:space="preserve">Customers and business partners (where relevant): </w:t>
      </w:r>
      <w:r>
        <w:t>External parties who depend on the o</w:t>
      </w:r>
      <w:r>
        <w:t>rganization’s secure delivery of products and services. While they may not interact with CyberShield 360 directly, they are indirect beneficiaries whose trust can be affected by the platform’s effectiveness in preventing and managing incidents.</w:t>
      </w:r>
    </w:p>
    <w:p w:rsidR="009E6E7A" w:rsidRDefault="00780A43">
      <w:pPr>
        <w:spacing w:after="150"/>
        <w:rPr>
          <w:rFonts w:ascii="Geist Sans" w:eastAsia="Geist Sans" w:hAnsi="Geist Sans" w:cs="Geist Sans"/>
          <w:color w:val="181D27"/>
        </w:rPr>
      </w:pPr>
      <w:r>
        <w:t>In many ent</w:t>
      </w:r>
      <w:r>
        <w:t xml:space="preserve">erprises, the existing cybersecurity environment has grown organically over time and consists of multiple point solutions: endpoint antivirus, </w:t>
      </w:r>
      <w:r>
        <w:lastRenderedPageBreak/>
        <w:t>network firewalls, intrusion detection or prevention systems, cloud-native logging tools, and standalone Security</w:t>
      </w:r>
      <w:r>
        <w:t xml:space="preserve"> Information and Event Management (SIEM) platforms. These tools often operate in isolation, are managed by different teams, and use distinct data models and interfaces. Although basic log aggregation may be in place, correlation is typically limited to sta</w:t>
      </w:r>
      <w:r>
        <w:t>tic rules and dashboards that focus on individual technologies rather than end‑to‑end attack campaigns.</w:t>
      </w:r>
    </w:p>
    <w:p w:rsidR="009E6E7A" w:rsidRDefault="00780A43">
      <w:pPr>
        <w:spacing w:after="150"/>
        <w:rPr>
          <w:rFonts w:ascii="Geist Sans" w:eastAsia="Geist Sans" w:hAnsi="Geist Sans" w:cs="Geist Sans"/>
          <w:color w:val="181D27"/>
        </w:rPr>
      </w:pPr>
      <w:r>
        <w:t>This fragmented architecture produces a range of systemic weaknesses. First, visibility is uneven: some endpoints or cloud accounts may be weakly monito</w:t>
      </w:r>
      <w:r>
        <w:t>red or not monitored at all, creating blind spots that attackers can exploit. Second, signature- and rule-based detections are inherently reactive and lag behind new attack techniques, which can lead to undetected intrusions. Third, incident handling relie</w:t>
      </w:r>
      <w:r>
        <w:t xml:space="preserve">s heavily on manual processes in which analysts must pivot across tools, copy data between interfaces, and coordinate response activities through email or chat rather than structured workflows. Finally, generating consolidated compliance evidence requires </w:t>
      </w:r>
      <w:r>
        <w:t>extensive manual effort to extract and reconcile logs from multiple systems, increasing the likelihood of errors or omissions.</w:t>
      </w:r>
    </w:p>
    <w:p w:rsidR="009E6E7A" w:rsidRDefault="00780A43">
      <w:pPr>
        <w:spacing w:after="150"/>
        <w:rPr>
          <w:rFonts w:ascii="Geist Sans" w:eastAsia="Geist Sans" w:hAnsi="Geist Sans" w:cs="Geist Sans"/>
          <w:color w:val="181D27"/>
        </w:rPr>
      </w:pPr>
      <w:r>
        <w:t>From a design perspective, the core limitation is that current solutions treat security monitoring and response as a collection o</w:t>
      </w:r>
      <w:r>
        <w:t>f loosely coupled capabilities rather than as an integrated, end‑to‑end process. The absence of a unifying data and workflow layer hinders the use of advanced analytics, slows decision‑making, and complicates governance. CyberShield 360 is positioned to ad</w:t>
      </w:r>
      <w:r>
        <w:t>dress precisely these gaps by providing a coherent platform that centralizes telemetry, embeds intelligence, and codifies response procedures.</w:t>
      </w:r>
    </w:p>
    <w:p w:rsidR="009E6E7A" w:rsidRDefault="00780A43">
      <w:pPr>
        <w:pStyle w:val="ListParagraph"/>
        <w:numPr>
          <w:ilvl w:val="0"/>
          <w:numId w:val="2"/>
        </w:numPr>
        <w:spacing w:after="150"/>
        <w:rPr>
          <w:rFonts w:ascii="Geist Sans" w:eastAsia="Geist Sans" w:hAnsi="Geist Sans" w:cs="Geist Sans"/>
          <w:color w:val="181D27"/>
        </w:rPr>
      </w:pPr>
      <w:r>
        <w:rPr>
          <w:b/>
          <w:bCs/>
        </w:rPr>
        <w:t xml:space="preserve">Tool fragmentation: </w:t>
      </w:r>
      <w:r>
        <w:t>Multiple point solutions with limited integration complicate incident reconstruction and fore</w:t>
      </w:r>
      <w:r>
        <w:t>nsic analysis.</w:t>
      </w:r>
    </w:p>
    <w:p w:rsidR="009E6E7A" w:rsidRDefault="00780A43">
      <w:pPr>
        <w:pStyle w:val="ListParagraph"/>
        <w:numPr>
          <w:ilvl w:val="0"/>
          <w:numId w:val="2"/>
        </w:numPr>
        <w:spacing w:after="150"/>
        <w:rPr>
          <w:rFonts w:ascii="Geist Sans" w:eastAsia="Geist Sans" w:hAnsi="Geist Sans" w:cs="Geist Sans"/>
          <w:color w:val="181D27"/>
        </w:rPr>
      </w:pPr>
      <w:r>
        <w:rPr>
          <w:b/>
          <w:bCs/>
        </w:rPr>
        <w:t xml:space="preserve">Limited intelligence: </w:t>
      </w:r>
      <w:r>
        <w:t>Rule-based systems struggle to detect subtle or novel threats that do not match predefined signatures.</w:t>
      </w:r>
    </w:p>
    <w:p w:rsidR="009E6E7A" w:rsidRDefault="00780A43">
      <w:pPr>
        <w:pStyle w:val="ListParagraph"/>
        <w:numPr>
          <w:ilvl w:val="0"/>
          <w:numId w:val="2"/>
        </w:numPr>
        <w:spacing w:after="150"/>
        <w:rPr>
          <w:rFonts w:ascii="Geist Sans" w:eastAsia="Geist Sans" w:hAnsi="Geist Sans" w:cs="Geist Sans"/>
          <w:color w:val="181D27"/>
        </w:rPr>
      </w:pPr>
      <w:r>
        <w:rPr>
          <w:b/>
          <w:bCs/>
        </w:rPr>
        <w:t xml:space="preserve">Manual workflows: </w:t>
      </w:r>
      <w:r>
        <w:t>Incident response often relies on ad hoc human procedures rather than codified, automated playbook</w:t>
      </w:r>
      <w:r>
        <w:t>s.</w:t>
      </w:r>
    </w:p>
    <w:p w:rsidR="009E6E7A" w:rsidRDefault="00780A43">
      <w:pPr>
        <w:pStyle w:val="ListParagraph"/>
        <w:numPr>
          <w:ilvl w:val="0"/>
          <w:numId w:val="2"/>
        </w:numPr>
        <w:spacing w:after="150"/>
        <w:rPr>
          <w:rFonts w:ascii="Geist Sans" w:eastAsia="Geist Sans" w:hAnsi="Geist Sans" w:cs="Geist Sans"/>
          <w:color w:val="181D27"/>
        </w:rPr>
      </w:pPr>
      <w:r>
        <w:rPr>
          <w:b/>
          <w:bCs/>
        </w:rPr>
        <w:lastRenderedPageBreak/>
        <w:t xml:space="preserve">Inefficient compliance reporting: </w:t>
      </w:r>
      <w:r>
        <w:t>Audits require data extraction from multiple systems, with limited centralized evidence of monitoring coverage and response actions.</w:t>
      </w:r>
    </w:p>
    <w:p w:rsidR="009E6E7A" w:rsidRDefault="00780A43">
      <w:pPr>
        <w:pStyle w:val="Heading2"/>
        <w:spacing w:before="240" w:after="150"/>
        <w:rPr>
          <w:rFonts w:ascii="Geist Sans" w:eastAsia="Geist Sans" w:hAnsi="Geist Sans" w:cs="Geist Sans"/>
          <w:bCs/>
          <w:color w:val="181D27"/>
          <w:sz w:val="30"/>
          <w:szCs w:val="30"/>
        </w:rPr>
      </w:pPr>
      <w:r>
        <w:rPr>
          <w:bCs/>
        </w:rPr>
        <w:t>6. Proposed CyberShield 360 Solution</w:t>
      </w:r>
    </w:p>
    <w:p w:rsidR="009E6E7A" w:rsidRDefault="00780A43">
      <w:pPr>
        <w:spacing w:after="150"/>
        <w:rPr>
          <w:rFonts w:ascii="Geist Sans" w:eastAsia="Geist Sans" w:hAnsi="Geist Sans" w:cs="Geist Sans"/>
          <w:color w:val="181D27"/>
        </w:rPr>
      </w:pPr>
      <w:r>
        <w:t>CyberShield 360 is envisaged as an integrated sec</w:t>
      </w:r>
      <w:r>
        <w:t>urity operations platform that unifies monitoring, detection, investigation, and response across the enterprise. Conceptually, the platform sits at the center of the organization’s security architecture, ingesting telemetry from networks, endpoints, identi</w:t>
      </w:r>
      <w:r>
        <w:t>ty and access management systems, cloud services, and external threat intelligence sources. It applies analytics and machine-learning models to this data to surface high‑risk events and sequences of behavior, and then orchestrates standardized response act</w:t>
      </w:r>
      <w:r>
        <w:t>ions through configurable playbooks.</w:t>
      </w:r>
    </w:p>
    <w:p w:rsidR="009E6E7A" w:rsidRDefault="00780A43">
      <w:pPr>
        <w:spacing w:after="150"/>
        <w:rPr>
          <w:rFonts w:ascii="Geist Sans" w:eastAsia="Geist Sans" w:hAnsi="Geist Sans" w:cs="Geist Sans"/>
          <w:color w:val="181D27"/>
        </w:rPr>
      </w:pPr>
      <w:r>
        <w:t>At a high level, the architecture can be described in layered terms: (1) a data collection and integration layer composed of agents, connectors, and APIs; (2) a scalable data processing and storage layer that normalizes</w:t>
      </w:r>
      <w:r>
        <w:t>, enriches, and persists logs and events; (3) an analytics and detection layer that combines rules, heuristics, and ML models to identify threats; (4) an orchestration and automation layer that encodes incident workflows and triggers responses across infra</w:t>
      </w:r>
      <w:r>
        <w:t>structure; and (5) user experience layers tailored to SOC analysts, managers, and auditors. Cross‑cutting concerns such as security, privacy, reliability, and observability are embedded across all layers rather than treated as afterthoughts.</w:t>
      </w:r>
    </w:p>
    <w:p w:rsidR="009E6E7A" w:rsidRDefault="00780A43">
      <w:pPr>
        <w:pStyle w:val="Heading3"/>
        <w:spacing w:before="180" w:after="150"/>
        <w:rPr>
          <w:rFonts w:ascii="Geist Sans" w:eastAsia="Geist Sans" w:hAnsi="Geist Sans" w:cs="Geist Sans"/>
          <w:bCs/>
          <w:color w:val="181D27"/>
          <w:sz w:val="27"/>
          <w:szCs w:val="27"/>
        </w:rPr>
      </w:pPr>
      <w:r>
        <w:rPr>
          <w:bCs/>
        </w:rPr>
        <w:t>6.1 Functional</w:t>
      </w:r>
      <w:r>
        <w:rPr>
          <w:bCs/>
        </w:rPr>
        <w:t xml:space="preserve"> Requirements Overview</w:t>
      </w:r>
    </w:p>
    <w:p w:rsidR="009E6E7A" w:rsidRDefault="00780A43">
      <w:pPr>
        <w:spacing w:after="150"/>
        <w:rPr>
          <w:rFonts w:ascii="Geist Sans" w:eastAsia="Geist Sans" w:hAnsi="Geist Sans" w:cs="Geist Sans"/>
          <w:color w:val="181D27"/>
        </w:rPr>
      </w:pPr>
      <w:r>
        <w:t>The table below summarizes key functional and supporting non‑functional requirements for CyberShield 360, grounded in the previously identified stakeholder needs and current system gaps. These requirements collectively guide the arch</w:t>
      </w:r>
      <w:r>
        <w:t>itecture, data model, and interaction design of the platform.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4"/>
        <w:gridCol w:w="5075"/>
        <w:gridCol w:w="1751"/>
      </w:tblGrid>
      <w:tr w:rsidR="009E6E7A">
        <w:trPr>
          <w:tblHeader/>
        </w:trPr>
        <w:tc>
          <w:tcPr>
            <w:tcW w:w="2265" w:type="dxa"/>
            <w:tcBorders>
              <w:top w:val="single" w:sz="6" w:space="0" w:color="E7E7E7"/>
              <w:left w:val="single" w:sz="6" w:space="0" w:color="E7E7E7"/>
              <w:bottom w:val="single" w:sz="6" w:space="0" w:color="E7E7E7"/>
              <w:right w:val="single" w:sz="6" w:space="0" w:color="E7E7E7"/>
            </w:tcBorders>
            <w:shd w:val="clear" w:color="auto" w:fill="F9FAFB"/>
            <w:tcMar>
              <w:top w:w="120" w:type="dxa"/>
              <w:left w:w="180" w:type="dxa"/>
              <w:bottom w:w="120" w:type="dxa"/>
              <w:right w:w="180" w:type="dxa"/>
            </w:tcMar>
          </w:tcPr>
          <w:p w:rsidR="009E6E7A" w:rsidRDefault="00780A43">
            <w:pPr>
              <w:spacing w:before="0" w:after="0"/>
              <w:rPr>
                <w:rFonts w:ascii="Geist Sans" w:eastAsia="Geist Sans" w:hAnsi="Geist Sans" w:cs="Geist Sans"/>
                <w:b/>
                <w:bCs/>
                <w:color w:val="181D27"/>
                <w:sz w:val="21"/>
                <w:szCs w:val="21"/>
              </w:rPr>
            </w:pPr>
            <w:r>
              <w:rPr>
                <w:b/>
                <w:bCs/>
              </w:rPr>
              <w:lastRenderedPageBreak/>
              <w:t>Category</w:t>
            </w:r>
          </w:p>
        </w:tc>
        <w:tc>
          <w:tcPr>
            <w:tcW w:w="5284" w:type="dxa"/>
            <w:tcBorders>
              <w:top w:val="single" w:sz="6" w:space="0" w:color="E7E7E7"/>
              <w:left w:val="single" w:sz="6" w:space="0" w:color="E7E7E7"/>
              <w:bottom w:val="single" w:sz="6" w:space="0" w:color="E7E7E7"/>
              <w:right w:val="single" w:sz="6" w:space="0" w:color="E7E7E7"/>
            </w:tcBorders>
            <w:shd w:val="clear" w:color="auto" w:fill="F9FAFB"/>
            <w:tcMar>
              <w:top w:w="120" w:type="dxa"/>
              <w:left w:w="180" w:type="dxa"/>
              <w:bottom w:w="120" w:type="dxa"/>
              <w:right w:w="180" w:type="dxa"/>
            </w:tcMar>
          </w:tcPr>
          <w:p w:rsidR="009E6E7A" w:rsidRDefault="00780A43">
            <w:pPr>
              <w:spacing w:before="0" w:after="0"/>
              <w:rPr>
                <w:rFonts w:ascii="Geist Sans" w:eastAsia="Geist Sans" w:hAnsi="Geist Sans" w:cs="Geist Sans"/>
                <w:b/>
                <w:bCs/>
                <w:color w:val="181D27"/>
                <w:sz w:val="21"/>
                <w:szCs w:val="21"/>
              </w:rPr>
            </w:pPr>
            <w:r>
              <w:rPr>
                <w:b/>
                <w:bCs/>
              </w:rPr>
              <w:t>Requirement Description</w:t>
            </w:r>
          </w:p>
        </w:tc>
        <w:tc>
          <w:tcPr>
            <w:tcW w:w="1812" w:type="dxa"/>
            <w:tcBorders>
              <w:top w:val="single" w:sz="6" w:space="0" w:color="E7E7E7"/>
              <w:left w:val="single" w:sz="6" w:space="0" w:color="E7E7E7"/>
              <w:bottom w:val="single" w:sz="6" w:space="0" w:color="E7E7E7"/>
              <w:right w:val="single" w:sz="6" w:space="0" w:color="E7E7E7"/>
            </w:tcBorders>
            <w:shd w:val="clear" w:color="auto" w:fill="F9FAFB"/>
            <w:tcMar>
              <w:top w:w="120" w:type="dxa"/>
              <w:left w:w="180" w:type="dxa"/>
              <w:bottom w:w="120" w:type="dxa"/>
              <w:right w:w="180" w:type="dxa"/>
            </w:tcMar>
          </w:tcPr>
          <w:p w:rsidR="009E6E7A" w:rsidRDefault="00780A43">
            <w:pPr>
              <w:spacing w:before="0" w:after="0"/>
              <w:rPr>
                <w:rFonts w:ascii="Geist Sans" w:eastAsia="Geist Sans" w:hAnsi="Geist Sans" w:cs="Geist Sans"/>
                <w:b/>
                <w:bCs/>
                <w:color w:val="181D27"/>
                <w:sz w:val="21"/>
                <w:szCs w:val="21"/>
              </w:rPr>
            </w:pPr>
            <w:r>
              <w:rPr>
                <w:b/>
                <w:bCs/>
              </w:rPr>
              <w:t>Type</w:t>
            </w:r>
          </w:p>
        </w:tc>
      </w:tr>
      <w:tr w:rsidR="009E6E7A">
        <w:tc>
          <w:tcPr>
            <w:tcW w:w="2265" w:type="dxa"/>
            <w:tcBorders>
              <w:top w:val="single" w:sz="6" w:space="0" w:color="E7E7E7"/>
              <w:left w:val="single" w:sz="6" w:space="0" w:color="E7E7E7"/>
              <w:bottom w:val="single" w:sz="6" w:space="0" w:color="E7E7E7"/>
              <w:right w:val="single" w:sz="6" w:space="0" w:color="E7E7E7"/>
            </w:tcBorders>
            <w:shd w:val="clear" w:color="auto" w:fill="FAFAFA"/>
            <w:tcMar>
              <w:top w:w="120" w:type="dxa"/>
              <w:left w:w="180" w:type="dxa"/>
              <w:bottom w:w="120" w:type="dxa"/>
              <w:right w:w="180" w:type="dxa"/>
            </w:tcMar>
          </w:tcPr>
          <w:p w:rsidR="009E6E7A" w:rsidRDefault="00780A43">
            <w:pPr>
              <w:spacing w:before="0" w:after="0"/>
              <w:rPr>
                <w:rFonts w:ascii="Geist Sans" w:eastAsia="Geist Sans" w:hAnsi="Geist Sans" w:cs="Geist Sans"/>
                <w:color w:val="181D27"/>
                <w:sz w:val="21"/>
                <w:szCs w:val="21"/>
              </w:rPr>
            </w:pPr>
            <w:r>
              <w:t>Monitoring</w:t>
            </w:r>
          </w:p>
        </w:tc>
        <w:tc>
          <w:tcPr>
            <w:tcW w:w="5284" w:type="dxa"/>
            <w:tcBorders>
              <w:top w:val="single" w:sz="6" w:space="0" w:color="E7E7E7"/>
              <w:left w:val="single" w:sz="6" w:space="0" w:color="E7E7E7"/>
              <w:bottom w:val="single" w:sz="6" w:space="0" w:color="E7E7E7"/>
              <w:right w:val="single" w:sz="6" w:space="0" w:color="E7E7E7"/>
            </w:tcBorders>
            <w:shd w:val="clear" w:color="auto" w:fill="FAFAFA"/>
            <w:tcMar>
              <w:top w:w="120" w:type="dxa"/>
              <w:left w:w="180" w:type="dxa"/>
              <w:bottom w:w="120" w:type="dxa"/>
              <w:right w:w="180" w:type="dxa"/>
            </w:tcMar>
          </w:tcPr>
          <w:p w:rsidR="009E6E7A" w:rsidRDefault="00780A43">
            <w:pPr>
              <w:spacing w:before="0" w:after="0"/>
              <w:rPr>
                <w:rFonts w:ascii="Geist Sans" w:eastAsia="Geist Sans" w:hAnsi="Geist Sans" w:cs="Geist Sans"/>
                <w:color w:val="181D27"/>
                <w:sz w:val="21"/>
                <w:szCs w:val="21"/>
              </w:rPr>
            </w:pPr>
            <w:r>
              <w:t>Continuous analysis of network traffic, endpoints, and cloud resources.</w:t>
            </w:r>
          </w:p>
        </w:tc>
        <w:tc>
          <w:tcPr>
            <w:tcW w:w="1812" w:type="dxa"/>
            <w:tcBorders>
              <w:top w:val="single" w:sz="6" w:space="0" w:color="E7E7E7"/>
              <w:left w:val="single" w:sz="6" w:space="0" w:color="E7E7E7"/>
              <w:bottom w:val="single" w:sz="6" w:space="0" w:color="E7E7E7"/>
              <w:right w:val="single" w:sz="6" w:space="0" w:color="E7E7E7"/>
            </w:tcBorders>
            <w:shd w:val="clear" w:color="auto" w:fill="FAFAFA"/>
            <w:tcMar>
              <w:top w:w="120" w:type="dxa"/>
              <w:left w:w="180" w:type="dxa"/>
              <w:bottom w:w="120" w:type="dxa"/>
              <w:right w:w="180" w:type="dxa"/>
            </w:tcMar>
          </w:tcPr>
          <w:p w:rsidR="009E6E7A" w:rsidRDefault="00780A43">
            <w:pPr>
              <w:spacing w:before="0" w:after="0"/>
              <w:rPr>
                <w:rFonts w:ascii="Geist Sans" w:eastAsia="Geist Sans" w:hAnsi="Geist Sans" w:cs="Geist Sans"/>
                <w:color w:val="181D27"/>
                <w:sz w:val="21"/>
                <w:szCs w:val="21"/>
              </w:rPr>
            </w:pPr>
            <w:r>
              <w:t>Functional</w:t>
            </w:r>
          </w:p>
        </w:tc>
      </w:tr>
      <w:tr w:rsidR="009E6E7A">
        <w:tc>
          <w:tcPr>
            <w:tcW w:w="2265" w:type="dxa"/>
            <w:tcBorders>
              <w:top w:val="single" w:sz="6" w:space="0" w:color="E7E7E7"/>
              <w:left w:val="single" w:sz="6" w:space="0" w:color="E7E7E7"/>
              <w:bottom w:val="single" w:sz="6" w:space="0" w:color="E7E7E7"/>
              <w:right w:val="single" w:sz="6" w:space="0" w:color="E7E7E7"/>
            </w:tcBorders>
            <w:tcMar>
              <w:top w:w="120" w:type="dxa"/>
              <w:left w:w="180" w:type="dxa"/>
              <w:bottom w:w="120" w:type="dxa"/>
              <w:right w:w="180" w:type="dxa"/>
            </w:tcMar>
          </w:tcPr>
          <w:p w:rsidR="009E6E7A" w:rsidRDefault="00780A43">
            <w:pPr>
              <w:spacing w:before="0" w:after="0"/>
              <w:rPr>
                <w:rFonts w:ascii="Geist Sans" w:eastAsia="Geist Sans" w:hAnsi="Geist Sans" w:cs="Geist Sans"/>
                <w:color w:val="181D27"/>
                <w:sz w:val="21"/>
                <w:szCs w:val="21"/>
              </w:rPr>
            </w:pPr>
            <w:r>
              <w:t>Detection</w:t>
            </w:r>
          </w:p>
        </w:tc>
        <w:tc>
          <w:tcPr>
            <w:tcW w:w="5284" w:type="dxa"/>
            <w:tcBorders>
              <w:top w:val="single" w:sz="6" w:space="0" w:color="E7E7E7"/>
              <w:left w:val="single" w:sz="6" w:space="0" w:color="E7E7E7"/>
              <w:bottom w:val="single" w:sz="6" w:space="0" w:color="E7E7E7"/>
              <w:right w:val="single" w:sz="6" w:space="0" w:color="E7E7E7"/>
            </w:tcBorders>
            <w:tcMar>
              <w:top w:w="120" w:type="dxa"/>
              <w:left w:w="180" w:type="dxa"/>
              <w:bottom w:w="120" w:type="dxa"/>
              <w:right w:w="180" w:type="dxa"/>
            </w:tcMar>
          </w:tcPr>
          <w:p w:rsidR="009E6E7A" w:rsidRDefault="00780A43">
            <w:pPr>
              <w:spacing w:before="0" w:after="0"/>
              <w:rPr>
                <w:rFonts w:ascii="Geist Sans" w:eastAsia="Geist Sans" w:hAnsi="Geist Sans" w:cs="Geist Sans"/>
                <w:color w:val="181D27"/>
                <w:sz w:val="21"/>
                <w:szCs w:val="21"/>
              </w:rPr>
            </w:pPr>
            <w:r>
              <w:t>ML-based identification of malware, phishing, and ransomware.</w:t>
            </w:r>
          </w:p>
        </w:tc>
        <w:tc>
          <w:tcPr>
            <w:tcW w:w="1812" w:type="dxa"/>
            <w:tcBorders>
              <w:top w:val="single" w:sz="6" w:space="0" w:color="E7E7E7"/>
              <w:left w:val="single" w:sz="6" w:space="0" w:color="E7E7E7"/>
              <w:bottom w:val="single" w:sz="6" w:space="0" w:color="E7E7E7"/>
              <w:right w:val="single" w:sz="6" w:space="0" w:color="E7E7E7"/>
            </w:tcBorders>
            <w:tcMar>
              <w:top w:w="120" w:type="dxa"/>
              <w:left w:w="180" w:type="dxa"/>
              <w:bottom w:w="120" w:type="dxa"/>
              <w:right w:w="180" w:type="dxa"/>
            </w:tcMar>
          </w:tcPr>
          <w:p w:rsidR="009E6E7A" w:rsidRDefault="00780A43">
            <w:pPr>
              <w:spacing w:before="0" w:after="0"/>
              <w:rPr>
                <w:rFonts w:ascii="Geist Sans" w:eastAsia="Geist Sans" w:hAnsi="Geist Sans" w:cs="Geist Sans"/>
                <w:color w:val="181D27"/>
                <w:sz w:val="21"/>
                <w:szCs w:val="21"/>
              </w:rPr>
            </w:pPr>
            <w:r>
              <w:t>Functional</w:t>
            </w:r>
          </w:p>
        </w:tc>
      </w:tr>
      <w:tr w:rsidR="009E6E7A">
        <w:tc>
          <w:tcPr>
            <w:tcW w:w="2265" w:type="dxa"/>
            <w:tcBorders>
              <w:top w:val="single" w:sz="6" w:space="0" w:color="E7E7E7"/>
              <w:left w:val="single" w:sz="6" w:space="0" w:color="E7E7E7"/>
              <w:bottom w:val="single" w:sz="6" w:space="0" w:color="E7E7E7"/>
              <w:right w:val="single" w:sz="6" w:space="0" w:color="E7E7E7"/>
            </w:tcBorders>
            <w:shd w:val="clear" w:color="auto" w:fill="FAFAFA"/>
            <w:tcMar>
              <w:top w:w="120" w:type="dxa"/>
              <w:left w:w="180" w:type="dxa"/>
              <w:bottom w:w="120" w:type="dxa"/>
              <w:right w:w="180" w:type="dxa"/>
            </w:tcMar>
          </w:tcPr>
          <w:p w:rsidR="009E6E7A" w:rsidRDefault="00780A43">
            <w:pPr>
              <w:spacing w:before="0" w:after="0"/>
              <w:rPr>
                <w:rFonts w:ascii="Geist Sans" w:eastAsia="Geist Sans" w:hAnsi="Geist Sans" w:cs="Geist Sans"/>
                <w:color w:val="181D27"/>
                <w:sz w:val="21"/>
                <w:szCs w:val="21"/>
              </w:rPr>
            </w:pPr>
            <w:r>
              <w:t>Automation</w:t>
            </w:r>
          </w:p>
        </w:tc>
        <w:tc>
          <w:tcPr>
            <w:tcW w:w="5284" w:type="dxa"/>
            <w:tcBorders>
              <w:top w:val="single" w:sz="6" w:space="0" w:color="E7E7E7"/>
              <w:left w:val="single" w:sz="6" w:space="0" w:color="E7E7E7"/>
              <w:bottom w:val="single" w:sz="6" w:space="0" w:color="E7E7E7"/>
              <w:right w:val="single" w:sz="6" w:space="0" w:color="E7E7E7"/>
            </w:tcBorders>
            <w:shd w:val="clear" w:color="auto" w:fill="FAFAFA"/>
            <w:tcMar>
              <w:top w:w="120" w:type="dxa"/>
              <w:left w:w="180" w:type="dxa"/>
              <w:bottom w:w="120" w:type="dxa"/>
              <w:right w:w="180" w:type="dxa"/>
            </w:tcMar>
          </w:tcPr>
          <w:p w:rsidR="009E6E7A" w:rsidRDefault="00780A43">
            <w:pPr>
              <w:spacing w:before="0" w:after="0"/>
              <w:rPr>
                <w:rFonts w:ascii="Geist Sans" w:eastAsia="Geist Sans" w:hAnsi="Geist Sans" w:cs="Geist Sans"/>
                <w:color w:val="181D27"/>
                <w:sz w:val="21"/>
                <w:szCs w:val="21"/>
              </w:rPr>
            </w:pPr>
            <w:r>
              <w:t>Automated incident prioritization and response workflows.</w:t>
            </w:r>
          </w:p>
        </w:tc>
        <w:tc>
          <w:tcPr>
            <w:tcW w:w="1812" w:type="dxa"/>
            <w:tcBorders>
              <w:top w:val="single" w:sz="6" w:space="0" w:color="E7E7E7"/>
              <w:left w:val="single" w:sz="6" w:space="0" w:color="E7E7E7"/>
              <w:bottom w:val="single" w:sz="6" w:space="0" w:color="E7E7E7"/>
              <w:right w:val="single" w:sz="6" w:space="0" w:color="E7E7E7"/>
            </w:tcBorders>
            <w:shd w:val="clear" w:color="auto" w:fill="FAFAFA"/>
            <w:tcMar>
              <w:top w:w="120" w:type="dxa"/>
              <w:left w:w="180" w:type="dxa"/>
              <w:bottom w:w="120" w:type="dxa"/>
              <w:right w:w="180" w:type="dxa"/>
            </w:tcMar>
          </w:tcPr>
          <w:p w:rsidR="009E6E7A" w:rsidRDefault="00780A43">
            <w:pPr>
              <w:spacing w:before="0" w:after="0"/>
              <w:rPr>
                <w:rFonts w:ascii="Geist Sans" w:eastAsia="Geist Sans" w:hAnsi="Geist Sans" w:cs="Geist Sans"/>
                <w:color w:val="181D27"/>
                <w:sz w:val="21"/>
                <w:szCs w:val="21"/>
              </w:rPr>
            </w:pPr>
            <w:r>
              <w:t>Functional</w:t>
            </w:r>
          </w:p>
        </w:tc>
      </w:tr>
      <w:tr w:rsidR="009E6E7A">
        <w:tc>
          <w:tcPr>
            <w:tcW w:w="2265" w:type="dxa"/>
            <w:tcBorders>
              <w:top w:val="single" w:sz="6" w:space="0" w:color="E7E7E7"/>
              <w:left w:val="single" w:sz="6" w:space="0" w:color="E7E7E7"/>
              <w:bottom w:val="single" w:sz="6" w:space="0" w:color="E7E7E7"/>
              <w:right w:val="single" w:sz="6" w:space="0" w:color="E7E7E7"/>
            </w:tcBorders>
            <w:tcMar>
              <w:top w:w="120" w:type="dxa"/>
              <w:left w:w="180" w:type="dxa"/>
              <w:bottom w:w="120" w:type="dxa"/>
              <w:right w:w="180" w:type="dxa"/>
            </w:tcMar>
          </w:tcPr>
          <w:p w:rsidR="009E6E7A" w:rsidRDefault="00780A43">
            <w:pPr>
              <w:spacing w:before="0" w:after="0"/>
              <w:rPr>
                <w:rFonts w:ascii="Geist Sans" w:eastAsia="Geist Sans" w:hAnsi="Geist Sans" w:cs="Geist Sans"/>
                <w:color w:val="181D27"/>
                <w:sz w:val="21"/>
                <w:szCs w:val="21"/>
              </w:rPr>
            </w:pPr>
            <w:r>
              <w:t>Scalability</w:t>
            </w:r>
          </w:p>
        </w:tc>
        <w:tc>
          <w:tcPr>
            <w:tcW w:w="5284" w:type="dxa"/>
            <w:tcBorders>
              <w:top w:val="single" w:sz="6" w:space="0" w:color="E7E7E7"/>
              <w:left w:val="single" w:sz="6" w:space="0" w:color="E7E7E7"/>
              <w:bottom w:val="single" w:sz="6" w:space="0" w:color="E7E7E7"/>
              <w:right w:val="single" w:sz="6" w:space="0" w:color="E7E7E7"/>
            </w:tcBorders>
            <w:tcMar>
              <w:top w:w="120" w:type="dxa"/>
              <w:left w:w="180" w:type="dxa"/>
              <w:bottom w:w="120" w:type="dxa"/>
              <w:right w:w="180" w:type="dxa"/>
            </w:tcMar>
          </w:tcPr>
          <w:p w:rsidR="009E6E7A" w:rsidRDefault="00780A43">
            <w:pPr>
              <w:spacing w:before="0" w:after="0"/>
              <w:rPr>
                <w:rFonts w:ascii="Geist Sans" w:eastAsia="Geist Sans" w:hAnsi="Geist Sans" w:cs="Geist Sans"/>
                <w:color w:val="181D27"/>
                <w:sz w:val="21"/>
                <w:szCs w:val="21"/>
              </w:rPr>
            </w:pPr>
            <w:r>
              <w:t>Ability to handle massive log volumes across diverse IT infrastructure.</w:t>
            </w:r>
          </w:p>
        </w:tc>
        <w:tc>
          <w:tcPr>
            <w:tcW w:w="1812" w:type="dxa"/>
            <w:tcBorders>
              <w:top w:val="single" w:sz="6" w:space="0" w:color="E7E7E7"/>
              <w:left w:val="single" w:sz="6" w:space="0" w:color="E7E7E7"/>
              <w:bottom w:val="single" w:sz="6" w:space="0" w:color="E7E7E7"/>
              <w:right w:val="single" w:sz="6" w:space="0" w:color="E7E7E7"/>
            </w:tcBorders>
            <w:tcMar>
              <w:top w:w="120" w:type="dxa"/>
              <w:left w:w="180" w:type="dxa"/>
              <w:bottom w:w="120" w:type="dxa"/>
              <w:right w:w="180" w:type="dxa"/>
            </w:tcMar>
          </w:tcPr>
          <w:p w:rsidR="009E6E7A" w:rsidRDefault="00780A43">
            <w:pPr>
              <w:spacing w:before="0" w:after="0"/>
              <w:rPr>
                <w:rFonts w:ascii="Geist Sans" w:eastAsia="Geist Sans" w:hAnsi="Geist Sans" w:cs="Geist Sans"/>
                <w:color w:val="181D27"/>
                <w:sz w:val="21"/>
                <w:szCs w:val="21"/>
              </w:rPr>
            </w:pPr>
            <w:r>
              <w:t>Non-Functional</w:t>
            </w:r>
          </w:p>
        </w:tc>
      </w:tr>
      <w:tr w:rsidR="009E6E7A">
        <w:tc>
          <w:tcPr>
            <w:tcW w:w="2265" w:type="dxa"/>
            <w:tcBorders>
              <w:top w:val="single" w:sz="6" w:space="0" w:color="E7E7E7"/>
              <w:left w:val="single" w:sz="6" w:space="0" w:color="E7E7E7"/>
              <w:bottom w:val="single" w:sz="6" w:space="0" w:color="E7E7E7"/>
              <w:right w:val="single" w:sz="6" w:space="0" w:color="E7E7E7"/>
            </w:tcBorders>
            <w:shd w:val="clear" w:color="auto" w:fill="FAFAFA"/>
            <w:tcMar>
              <w:top w:w="120" w:type="dxa"/>
              <w:left w:w="180" w:type="dxa"/>
              <w:bottom w:w="120" w:type="dxa"/>
              <w:right w:w="180" w:type="dxa"/>
            </w:tcMar>
          </w:tcPr>
          <w:p w:rsidR="009E6E7A" w:rsidRDefault="00780A43">
            <w:pPr>
              <w:spacing w:before="0" w:after="0"/>
              <w:rPr>
                <w:rFonts w:ascii="Geist Sans" w:eastAsia="Geist Sans" w:hAnsi="Geist Sans" w:cs="Geist Sans"/>
                <w:color w:val="181D27"/>
                <w:sz w:val="21"/>
                <w:szCs w:val="21"/>
              </w:rPr>
            </w:pPr>
            <w:r>
              <w:t>Reliability</w:t>
            </w:r>
          </w:p>
        </w:tc>
        <w:tc>
          <w:tcPr>
            <w:tcW w:w="5284" w:type="dxa"/>
            <w:tcBorders>
              <w:top w:val="single" w:sz="6" w:space="0" w:color="E7E7E7"/>
              <w:left w:val="single" w:sz="6" w:space="0" w:color="E7E7E7"/>
              <w:bottom w:val="single" w:sz="6" w:space="0" w:color="E7E7E7"/>
              <w:right w:val="single" w:sz="6" w:space="0" w:color="E7E7E7"/>
            </w:tcBorders>
            <w:shd w:val="clear" w:color="auto" w:fill="FAFAFA"/>
            <w:tcMar>
              <w:top w:w="120" w:type="dxa"/>
              <w:left w:w="180" w:type="dxa"/>
              <w:bottom w:w="120" w:type="dxa"/>
              <w:right w:w="180" w:type="dxa"/>
            </w:tcMar>
          </w:tcPr>
          <w:p w:rsidR="009E6E7A" w:rsidRDefault="00780A43">
            <w:pPr>
              <w:spacing w:before="0" w:after="0"/>
              <w:rPr>
                <w:rFonts w:ascii="Geist Sans" w:eastAsia="Geist Sans" w:hAnsi="Geist Sans" w:cs="Geist Sans"/>
                <w:color w:val="181D27"/>
                <w:sz w:val="21"/>
                <w:szCs w:val="21"/>
              </w:rPr>
            </w:pPr>
            <w:r>
              <w:t>24/7 uptime for critical threat intelligence feeds and monitoring.</w:t>
            </w:r>
          </w:p>
        </w:tc>
        <w:tc>
          <w:tcPr>
            <w:tcW w:w="1812" w:type="dxa"/>
            <w:tcBorders>
              <w:top w:val="single" w:sz="6" w:space="0" w:color="E7E7E7"/>
              <w:left w:val="single" w:sz="6" w:space="0" w:color="E7E7E7"/>
              <w:bottom w:val="single" w:sz="6" w:space="0" w:color="E7E7E7"/>
              <w:right w:val="single" w:sz="6" w:space="0" w:color="E7E7E7"/>
            </w:tcBorders>
            <w:shd w:val="clear" w:color="auto" w:fill="FAFAFA"/>
            <w:tcMar>
              <w:top w:w="120" w:type="dxa"/>
              <w:left w:w="180" w:type="dxa"/>
              <w:bottom w:w="120" w:type="dxa"/>
              <w:right w:w="180" w:type="dxa"/>
            </w:tcMar>
          </w:tcPr>
          <w:p w:rsidR="009E6E7A" w:rsidRDefault="00780A43">
            <w:pPr>
              <w:spacing w:before="0" w:after="0"/>
              <w:rPr>
                <w:rFonts w:ascii="Geist Sans" w:eastAsia="Geist Sans" w:hAnsi="Geist Sans" w:cs="Geist Sans"/>
                <w:color w:val="181D27"/>
                <w:sz w:val="21"/>
                <w:szCs w:val="21"/>
              </w:rPr>
            </w:pPr>
            <w:r>
              <w:t>Non-Functional</w:t>
            </w:r>
          </w:p>
        </w:tc>
      </w:tr>
      <w:tr w:rsidR="009E6E7A">
        <w:tc>
          <w:tcPr>
            <w:tcW w:w="2265" w:type="dxa"/>
            <w:tcBorders>
              <w:top w:val="single" w:sz="6" w:space="0" w:color="E7E7E7"/>
              <w:left w:val="single" w:sz="6" w:space="0" w:color="E7E7E7"/>
              <w:bottom w:val="single" w:sz="6" w:space="0" w:color="E7E7E7"/>
              <w:right w:val="single" w:sz="6" w:space="0" w:color="E7E7E7"/>
            </w:tcBorders>
            <w:tcMar>
              <w:top w:w="120" w:type="dxa"/>
              <w:left w:w="180" w:type="dxa"/>
              <w:bottom w:w="120" w:type="dxa"/>
              <w:right w:w="180" w:type="dxa"/>
            </w:tcMar>
          </w:tcPr>
          <w:p w:rsidR="009E6E7A" w:rsidRDefault="00780A43">
            <w:pPr>
              <w:spacing w:before="0" w:after="0"/>
              <w:rPr>
                <w:rFonts w:ascii="Geist Sans" w:eastAsia="Geist Sans" w:hAnsi="Geist Sans" w:cs="Geist Sans"/>
                <w:color w:val="181D27"/>
                <w:sz w:val="21"/>
                <w:szCs w:val="21"/>
              </w:rPr>
            </w:pPr>
            <w:r>
              <w:t>Security</w:t>
            </w:r>
          </w:p>
        </w:tc>
        <w:tc>
          <w:tcPr>
            <w:tcW w:w="5284" w:type="dxa"/>
            <w:tcBorders>
              <w:top w:val="single" w:sz="6" w:space="0" w:color="E7E7E7"/>
              <w:left w:val="single" w:sz="6" w:space="0" w:color="E7E7E7"/>
              <w:bottom w:val="single" w:sz="6" w:space="0" w:color="E7E7E7"/>
              <w:right w:val="single" w:sz="6" w:space="0" w:color="E7E7E7"/>
            </w:tcBorders>
            <w:tcMar>
              <w:top w:w="120" w:type="dxa"/>
              <w:left w:w="180" w:type="dxa"/>
              <w:bottom w:w="120" w:type="dxa"/>
              <w:right w:w="180" w:type="dxa"/>
            </w:tcMar>
          </w:tcPr>
          <w:p w:rsidR="009E6E7A" w:rsidRDefault="00780A43">
            <w:pPr>
              <w:spacing w:before="0" w:after="0"/>
              <w:rPr>
                <w:rFonts w:ascii="Geist Sans" w:eastAsia="Geist Sans" w:hAnsi="Geist Sans" w:cs="Geist Sans"/>
                <w:color w:val="181D27"/>
                <w:sz w:val="21"/>
                <w:szCs w:val="21"/>
              </w:rPr>
            </w:pPr>
            <w:r>
              <w:t>Encryption of stored logs and strict access control for administrators.</w:t>
            </w:r>
          </w:p>
        </w:tc>
        <w:tc>
          <w:tcPr>
            <w:tcW w:w="1812" w:type="dxa"/>
            <w:tcBorders>
              <w:top w:val="single" w:sz="6" w:space="0" w:color="E7E7E7"/>
              <w:left w:val="single" w:sz="6" w:space="0" w:color="E7E7E7"/>
              <w:bottom w:val="single" w:sz="6" w:space="0" w:color="E7E7E7"/>
              <w:right w:val="single" w:sz="6" w:space="0" w:color="E7E7E7"/>
            </w:tcBorders>
            <w:tcMar>
              <w:top w:w="120" w:type="dxa"/>
              <w:left w:w="180" w:type="dxa"/>
              <w:bottom w:w="120" w:type="dxa"/>
              <w:right w:w="180" w:type="dxa"/>
            </w:tcMar>
          </w:tcPr>
          <w:p w:rsidR="009E6E7A" w:rsidRDefault="00780A43">
            <w:pPr>
              <w:spacing w:before="0" w:after="0"/>
              <w:rPr>
                <w:rFonts w:ascii="Geist Sans" w:eastAsia="Geist Sans" w:hAnsi="Geist Sans" w:cs="Geist Sans"/>
                <w:color w:val="181D27"/>
                <w:sz w:val="21"/>
                <w:szCs w:val="21"/>
              </w:rPr>
            </w:pPr>
            <w:r>
              <w:t>Non-Functional</w:t>
            </w:r>
          </w:p>
        </w:tc>
      </w:tr>
    </w:tbl>
    <w:p w:rsidR="009E6E7A" w:rsidRDefault="00780A43">
      <w:pPr>
        <w:spacing w:before="240" w:after="240"/>
      </w:pPr>
      <w:r>
        <w:rPr>
          <w:noProof/>
        </w:rPr>
        <w:drawing>
          <wp:inline distT="0" distB="0" distL="0" distR="0">
            <wp:extent cx="5715000" cy="3695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3695700"/>
                    </a:xfrm>
                    <a:prstGeom prst="rect">
                      <a:avLst/>
                    </a:prstGeom>
                  </pic:spPr>
                </pic:pic>
              </a:graphicData>
            </a:graphic>
          </wp:inline>
        </w:drawing>
      </w:r>
    </w:p>
    <w:p w:rsidR="009E6E7A" w:rsidRDefault="00780A43">
      <w:pPr>
        <w:pStyle w:val="ListParagraph"/>
        <w:numPr>
          <w:ilvl w:val="0"/>
          <w:numId w:val="2"/>
        </w:numPr>
        <w:spacing w:after="150"/>
        <w:rPr>
          <w:rFonts w:ascii="Geist Sans" w:eastAsia="Geist Sans" w:hAnsi="Geist Sans" w:cs="Geist Sans"/>
          <w:color w:val="181D27"/>
        </w:rPr>
      </w:pPr>
      <w:r>
        <w:rPr>
          <w:b/>
          <w:bCs/>
        </w:rPr>
        <w:lastRenderedPageBreak/>
        <w:t xml:space="preserve">Monitoring: </w:t>
      </w:r>
      <w:r>
        <w:t>The platform must provide continuous, unified visibility across networks, endpoints, identity systems, and cloud assets to minimize blind spots and support end‑to‑end incident reconstruction.</w:t>
      </w:r>
    </w:p>
    <w:p w:rsidR="009E6E7A" w:rsidRDefault="00780A43">
      <w:pPr>
        <w:pStyle w:val="ListParagraph"/>
        <w:numPr>
          <w:ilvl w:val="0"/>
          <w:numId w:val="2"/>
        </w:numPr>
        <w:spacing w:after="150"/>
        <w:rPr>
          <w:rFonts w:ascii="Geist Sans" w:eastAsia="Geist Sans" w:hAnsi="Geist Sans" w:cs="Geist Sans"/>
          <w:color w:val="181D27"/>
        </w:rPr>
      </w:pPr>
      <w:r>
        <w:rPr>
          <w:b/>
          <w:bCs/>
        </w:rPr>
        <w:t xml:space="preserve">Detection: </w:t>
      </w:r>
      <w:r>
        <w:t>Machine‑learning‑based and heuristic mechanisms shoul</w:t>
      </w:r>
      <w:r>
        <w:t>d detect malware, phishing, ransomware, and anomalous behaviors that are not captured by static signatures alone, while allowing analysts to tune sensitivity.</w:t>
      </w:r>
    </w:p>
    <w:p w:rsidR="009E6E7A" w:rsidRDefault="00780A43">
      <w:pPr>
        <w:pStyle w:val="ListParagraph"/>
        <w:numPr>
          <w:ilvl w:val="0"/>
          <w:numId w:val="2"/>
        </w:numPr>
        <w:spacing w:after="150"/>
        <w:rPr>
          <w:rFonts w:ascii="Geist Sans" w:eastAsia="Geist Sans" w:hAnsi="Geist Sans" w:cs="Geist Sans"/>
          <w:color w:val="181D27"/>
        </w:rPr>
      </w:pPr>
      <w:r>
        <w:rPr>
          <w:b/>
          <w:bCs/>
        </w:rPr>
        <w:t xml:space="preserve">Automation and orchestration: </w:t>
      </w:r>
      <w:r>
        <w:t>The system should prioritize high‑risk incidents and orchestrate st</w:t>
      </w:r>
      <w:r>
        <w:t>andardized response workflows (e.g., isolating hosts, disabling accounts, blocking IPs) with clear human‑in‑the‑loop approval where appropriate.</w:t>
      </w:r>
    </w:p>
    <w:p w:rsidR="009E6E7A" w:rsidRDefault="00780A43">
      <w:pPr>
        <w:pStyle w:val="ListParagraph"/>
        <w:numPr>
          <w:ilvl w:val="0"/>
          <w:numId w:val="2"/>
        </w:numPr>
        <w:spacing w:after="150"/>
        <w:rPr>
          <w:rFonts w:ascii="Geist Sans" w:eastAsia="Geist Sans" w:hAnsi="Geist Sans" w:cs="Geist Sans"/>
          <w:color w:val="181D27"/>
        </w:rPr>
      </w:pPr>
      <w:r>
        <w:rPr>
          <w:b/>
          <w:bCs/>
        </w:rPr>
        <w:t xml:space="preserve">Scalability and reliability: </w:t>
      </w:r>
      <w:r>
        <w:t>The platform should handle large and variable log volumes while maintaining predic</w:t>
      </w:r>
      <w:r>
        <w:t>table performance and high availability for critical monitoring and response functions.</w:t>
      </w:r>
    </w:p>
    <w:p w:rsidR="009E6E7A" w:rsidRDefault="00780A43">
      <w:pPr>
        <w:pStyle w:val="ListParagraph"/>
        <w:numPr>
          <w:ilvl w:val="0"/>
          <w:numId w:val="2"/>
        </w:numPr>
        <w:spacing w:after="150"/>
        <w:rPr>
          <w:rFonts w:ascii="Geist Sans" w:eastAsia="Geist Sans" w:hAnsi="Geist Sans" w:cs="Geist Sans"/>
          <w:color w:val="181D27"/>
        </w:rPr>
      </w:pPr>
      <w:r>
        <w:rPr>
          <w:b/>
          <w:bCs/>
        </w:rPr>
        <w:t xml:space="preserve">Security and privacy: </w:t>
      </w:r>
      <w:r>
        <w:t>Stored logs and configuration data must be protected through encryption, access control, and auditing, with careful handling of any personal or se</w:t>
      </w:r>
      <w:r>
        <w:t>nsitive information embedded in security telemetry.</w:t>
      </w:r>
    </w:p>
    <w:p w:rsidR="009E6E7A" w:rsidRDefault="00780A43">
      <w:pPr>
        <w:pStyle w:val="Heading2"/>
        <w:spacing w:before="240" w:after="150"/>
        <w:rPr>
          <w:rFonts w:ascii="Geist Sans" w:eastAsia="Geist Sans" w:hAnsi="Geist Sans" w:cs="Geist Sans"/>
          <w:bCs/>
          <w:color w:val="181D27"/>
          <w:sz w:val="30"/>
          <w:szCs w:val="30"/>
        </w:rPr>
      </w:pPr>
      <w:r>
        <w:rPr>
          <w:bCs/>
        </w:rPr>
        <w:t>7. SDLC / Methodology Justification</w:t>
      </w:r>
    </w:p>
    <w:p w:rsidR="009E6E7A" w:rsidRDefault="00780A43">
      <w:pPr>
        <w:spacing w:after="150"/>
        <w:rPr>
          <w:rFonts w:ascii="Geist Sans" w:eastAsia="Geist Sans" w:hAnsi="Geist Sans" w:cs="Geist Sans"/>
          <w:color w:val="181D27"/>
        </w:rPr>
      </w:pPr>
      <w:r>
        <w:t>Given the mission‑critical nature of cybersecurity and the rate at which threats, technologies, and regulatory expectations evolve, the development of CyberShield 360 i</w:t>
      </w:r>
      <w:r>
        <w:t>s best supported by an iterative, feedback‑driven SDLC. Agile Scrum is particularly appropriate because it structures work into time‑boxed sprints, maintains a prioritized product backlog, and emphasizes continuous stakeholder collaboration. For CyberShiel</w:t>
      </w:r>
      <w:r>
        <w:t>d 360, this means that features such as new data connectors, refined ML models, or updated response playbooks can be delivered incrementally and validated quickly with SOC analysts and administrators.</w:t>
      </w:r>
    </w:p>
    <w:p w:rsidR="009E6E7A" w:rsidRDefault="00780A43">
      <w:pPr>
        <w:spacing w:after="150"/>
        <w:rPr>
          <w:rFonts w:ascii="Geist Sans" w:eastAsia="Geist Sans" w:hAnsi="Geist Sans" w:cs="Geist Sans"/>
          <w:color w:val="181D27"/>
        </w:rPr>
      </w:pPr>
      <w:r>
        <w:t>Moreover, Agile practices can be augmented with explici</w:t>
      </w:r>
      <w:r>
        <w:t xml:space="preserve">t security‑by‑design activities: threat modeling during backlog refinement, secure coding standards enforced via code review and automated checks, and regular penetration testing of critical components. Continuous integration and continuous deployment </w:t>
      </w:r>
      <w:r>
        <w:lastRenderedPageBreak/>
        <w:t>(CI/</w:t>
      </w:r>
      <w:r>
        <w:t xml:space="preserve">CD) pipelines enable frequent, reliable releases while incorporating automated unit, integration, regression, and security tests. This combination of agility and rigor is well suited to a platform that must adapt continually without compromising stability </w:t>
      </w:r>
      <w:r>
        <w:t>or trustworthiness.</w:t>
      </w:r>
    </w:p>
    <w:p w:rsidR="009E6E7A" w:rsidRDefault="00780A43">
      <w:pPr>
        <w:pStyle w:val="ListParagraph"/>
        <w:numPr>
          <w:ilvl w:val="0"/>
          <w:numId w:val="2"/>
        </w:numPr>
        <w:spacing w:after="150"/>
        <w:rPr>
          <w:rFonts w:ascii="Geist Sans" w:eastAsia="Geist Sans" w:hAnsi="Geist Sans" w:cs="Geist Sans"/>
          <w:color w:val="181D27"/>
        </w:rPr>
      </w:pPr>
      <w:r>
        <w:rPr>
          <w:b/>
          <w:bCs/>
        </w:rPr>
        <w:t xml:space="preserve">Security-by-design: </w:t>
      </w:r>
      <w:r>
        <w:t>Threat modeling, secure coding standards, and periodic penetration testing integrated into the SDLC.</w:t>
      </w:r>
    </w:p>
    <w:p w:rsidR="009E6E7A" w:rsidRDefault="00780A43">
      <w:pPr>
        <w:pStyle w:val="ListParagraph"/>
        <w:numPr>
          <w:ilvl w:val="0"/>
          <w:numId w:val="2"/>
        </w:numPr>
        <w:spacing w:after="150"/>
        <w:rPr>
          <w:rFonts w:ascii="Geist Sans" w:eastAsia="Geist Sans" w:hAnsi="Geist Sans" w:cs="Geist Sans"/>
          <w:color w:val="181D27"/>
        </w:rPr>
      </w:pPr>
      <w:r>
        <w:rPr>
          <w:b/>
          <w:bCs/>
        </w:rPr>
        <w:t xml:space="preserve">Iterative delivery: </w:t>
      </w:r>
      <w:r>
        <w:t>Frequent releases of prioritized features allow rapid adaptation to new attack techniques and r</w:t>
      </w:r>
      <w:r>
        <w:t>egulatory requirements.</w:t>
      </w:r>
    </w:p>
    <w:p w:rsidR="009E6E7A" w:rsidRDefault="00780A43">
      <w:pPr>
        <w:pStyle w:val="ListParagraph"/>
        <w:numPr>
          <w:ilvl w:val="0"/>
          <w:numId w:val="2"/>
        </w:numPr>
        <w:spacing w:after="150"/>
        <w:rPr>
          <w:rFonts w:ascii="Geist Sans" w:eastAsia="Geist Sans" w:hAnsi="Geist Sans" w:cs="Geist Sans"/>
          <w:color w:val="181D27"/>
        </w:rPr>
      </w:pPr>
      <w:r>
        <w:rPr>
          <w:b/>
          <w:bCs/>
        </w:rPr>
        <w:t xml:space="preserve">Stakeholder collaboration: </w:t>
      </w:r>
      <w:r>
        <w:t>SOC, CISO, and administrators are continuously involved in backlog refinement, sprint reviews, and user acceptance testing.</w:t>
      </w:r>
    </w:p>
    <w:p w:rsidR="009E6E7A" w:rsidRDefault="00780A43">
      <w:pPr>
        <w:pStyle w:val="ListParagraph"/>
        <w:numPr>
          <w:ilvl w:val="0"/>
          <w:numId w:val="2"/>
        </w:numPr>
        <w:spacing w:after="150"/>
        <w:rPr>
          <w:rFonts w:ascii="Geist Sans" w:eastAsia="Geist Sans" w:hAnsi="Geist Sans" w:cs="Geist Sans"/>
          <w:color w:val="181D27"/>
        </w:rPr>
      </w:pPr>
      <w:r>
        <w:rPr>
          <w:b/>
          <w:bCs/>
        </w:rPr>
        <w:t xml:space="preserve">Operational feedback loops: </w:t>
      </w:r>
      <w:r>
        <w:t>Production telemetry and incident post-mortems feed back into requirements and design decisions.</w:t>
      </w:r>
    </w:p>
    <w:p w:rsidR="009E6E7A" w:rsidRDefault="00780A43">
      <w:pPr>
        <w:pStyle w:val="Heading2"/>
        <w:spacing w:before="240" w:after="150"/>
        <w:rPr>
          <w:rFonts w:ascii="Geist Sans" w:eastAsia="Geist Sans" w:hAnsi="Geist Sans" w:cs="Geist Sans"/>
          <w:bCs/>
          <w:color w:val="181D27"/>
          <w:sz w:val="30"/>
          <w:szCs w:val="30"/>
        </w:rPr>
      </w:pPr>
      <w:r>
        <w:rPr>
          <w:bCs/>
        </w:rPr>
        <w:t>8. Expected Outcomes, Risks, and Limitations</w:t>
      </w:r>
    </w:p>
    <w:p w:rsidR="009E6E7A" w:rsidRDefault="00780A43">
      <w:pPr>
        <w:spacing w:after="150"/>
        <w:rPr>
          <w:rFonts w:ascii="Geist Sans" w:eastAsia="Geist Sans" w:hAnsi="Geist Sans" w:cs="Geist Sans"/>
          <w:color w:val="181D27"/>
        </w:rPr>
      </w:pPr>
      <w:r>
        <w:t>If effectively designed and adopted, CyberShield 360 is expected to deliver improvements across several dimensions</w:t>
      </w:r>
      <w:r>
        <w:t>. Operationally, SOC teams should experience more coherent situational awareness, reduced effort in correlating events, and faster movement from detection to containment and recovery. Strategically, enterprise management can benefit from clearer visibility</w:t>
      </w:r>
      <w:r>
        <w:t xml:space="preserve"> into security posture, trends over time, and the effectiveness of investments in controls. From a governance perspective, the platform can make it easier to demonstrate compliance through consolidated audit trails and standardized reporting.</w:t>
      </w:r>
    </w:p>
    <w:p w:rsidR="009E6E7A" w:rsidRDefault="00780A43">
      <w:pPr>
        <w:spacing w:after="150"/>
        <w:rPr>
          <w:rFonts w:ascii="Geist Sans" w:eastAsia="Geist Sans" w:hAnsi="Geist Sans" w:cs="Geist Sans"/>
          <w:color w:val="181D27"/>
        </w:rPr>
      </w:pPr>
      <w:r>
        <w:t>At the same t</w:t>
      </w:r>
      <w:r>
        <w:t>ime, delivering these outcomes is contingent on mitigating a range of risks and limitations. The performance of ML‑based detection is sensitive to the quality, coverage, and representativeness of input data; inadequate data sources may lead to blind spots,</w:t>
      </w:r>
      <w:r>
        <w:t xml:space="preserve"> while poorly tuned models can create noise through false positives. Integration with legacy systems and diverse cloud environments can be technically challenging and may introduce deployment delays or transitional vulnerabilities. Finally, organizational </w:t>
      </w:r>
      <w:r>
        <w:t xml:space="preserve">factors—including </w:t>
      </w:r>
      <w:r>
        <w:lastRenderedPageBreak/>
        <w:t>resistance to process change, limited security skills, and insufficient training—can significantly reduce the realized benefits of the platform.</w:t>
      </w:r>
    </w:p>
    <w:p w:rsidR="009E6E7A" w:rsidRDefault="00780A43">
      <w:pPr>
        <w:pStyle w:val="ListParagraph"/>
        <w:numPr>
          <w:ilvl w:val="0"/>
          <w:numId w:val="2"/>
        </w:numPr>
        <w:spacing w:after="150"/>
        <w:rPr>
          <w:rFonts w:ascii="Geist Sans" w:eastAsia="Geist Sans" w:hAnsi="Geist Sans" w:cs="Geist Sans"/>
          <w:color w:val="181D27"/>
        </w:rPr>
      </w:pPr>
      <w:r>
        <w:rPr>
          <w:b/>
          <w:bCs/>
        </w:rPr>
        <w:t xml:space="preserve">Expected benefits: </w:t>
      </w:r>
      <w:r>
        <w:t>Faster detection and containment of threats, reduced manual workload for S</w:t>
      </w:r>
      <w:r>
        <w:t>OC teams, improved consistency of incident handling, and more efficient, traceable compliance reporting.</w:t>
      </w:r>
    </w:p>
    <w:p w:rsidR="009E6E7A" w:rsidRDefault="00780A43">
      <w:pPr>
        <w:pStyle w:val="ListParagraph"/>
        <w:numPr>
          <w:ilvl w:val="0"/>
          <w:numId w:val="2"/>
        </w:numPr>
        <w:spacing w:after="150"/>
        <w:rPr>
          <w:rFonts w:ascii="Geist Sans" w:eastAsia="Geist Sans" w:hAnsi="Geist Sans" w:cs="Geist Sans"/>
          <w:color w:val="181D27"/>
        </w:rPr>
      </w:pPr>
      <w:r>
        <w:rPr>
          <w:b/>
          <w:bCs/>
        </w:rPr>
        <w:t xml:space="preserve">Technical risks and limitations: </w:t>
      </w:r>
      <w:r>
        <w:t>Potential model drift over time, integration challenges with heterogeneous and legacy systems, performance bottlenecks</w:t>
      </w:r>
      <w:r>
        <w:t xml:space="preserve"> under peak load, and the need for robust monitoring of the platform itself.</w:t>
      </w:r>
    </w:p>
    <w:p w:rsidR="009E6E7A" w:rsidRDefault="00780A43">
      <w:pPr>
        <w:pStyle w:val="ListParagraph"/>
        <w:numPr>
          <w:ilvl w:val="0"/>
          <w:numId w:val="2"/>
        </w:numPr>
        <w:spacing w:after="150"/>
        <w:rPr>
          <w:rFonts w:ascii="Geist Sans" w:eastAsia="Geist Sans" w:hAnsi="Geist Sans" w:cs="Geist Sans"/>
          <w:color w:val="181D27"/>
        </w:rPr>
      </w:pPr>
      <w:r>
        <w:rPr>
          <w:b/>
          <w:bCs/>
        </w:rPr>
        <w:t xml:space="preserve">Organizational and process limitations: </w:t>
      </w:r>
      <w:r>
        <w:t>Dependence on sustained stakeholder buy‑in, adequate training for SOC and IT staff, clear governance of automated actions, and alignment wi</w:t>
      </w:r>
      <w:r>
        <w:t>th existing incident response and change‑management processes.</w:t>
      </w:r>
    </w:p>
    <w:p w:rsidR="009E6E7A" w:rsidRDefault="00780A43">
      <w:pPr>
        <w:pStyle w:val="ListParagraph"/>
        <w:numPr>
          <w:ilvl w:val="0"/>
          <w:numId w:val="2"/>
        </w:numPr>
        <w:spacing w:after="150"/>
        <w:rPr>
          <w:rFonts w:ascii="Geist Sans" w:eastAsia="Geist Sans" w:hAnsi="Geist Sans" w:cs="Geist Sans"/>
          <w:color w:val="181D27"/>
        </w:rPr>
      </w:pPr>
      <w:r>
        <w:rPr>
          <w:b/>
          <w:bCs/>
        </w:rPr>
        <w:t xml:space="preserve">Ethical and privacy considerations: </w:t>
      </w:r>
      <w:r>
        <w:t>Security telemetry can contain personal or sensitive information about employees and customers. The platform must therefore support data minimization, approp</w:t>
      </w:r>
      <w:r>
        <w:t>riate retention periods, role‑based access control, and transparency about monitoring practices, in line with relevant data protection principles.</w:t>
      </w:r>
    </w:p>
    <w:p w:rsidR="009E6E7A" w:rsidRDefault="00780A43">
      <w:pPr>
        <w:pStyle w:val="Heading2"/>
        <w:spacing w:before="240" w:after="150"/>
        <w:rPr>
          <w:rFonts w:ascii="Geist Sans" w:eastAsia="Geist Sans" w:hAnsi="Geist Sans" w:cs="Geist Sans"/>
          <w:bCs/>
          <w:color w:val="181D27"/>
          <w:sz w:val="30"/>
          <w:szCs w:val="30"/>
        </w:rPr>
      </w:pPr>
      <w:r>
        <w:rPr>
          <w:bCs/>
        </w:rPr>
        <w:t>9. Conclusion</w:t>
      </w:r>
    </w:p>
    <w:p w:rsidR="009E6E7A" w:rsidRDefault="00780A43">
      <w:pPr>
        <w:spacing w:after="150"/>
        <w:rPr>
          <w:rFonts w:ascii="Geist Sans" w:eastAsia="Geist Sans" w:hAnsi="Geist Sans" w:cs="Geist Sans"/>
          <w:color w:val="181D27"/>
        </w:rPr>
      </w:pPr>
      <w:r>
        <w:t>The CyberShield 360 case study demonstrates how an AI‑enabled, integrated security operations p</w:t>
      </w:r>
      <w:r>
        <w:t>latform can address the structural limitations of fragmented, signature‑centric cybersecurity tooling in modern enterprises. By grounding the design in a clear understanding of the problem space, a detailed stakeholder analysis, and explicit functional and</w:t>
      </w:r>
      <w:r>
        <w:t xml:space="preserve"> non‑functional requirements, the proposed solution articulates a coherent pathway toward more effective monitoring, detection, and response across heterogeneous IT environments.</w:t>
      </w:r>
    </w:p>
    <w:p w:rsidR="009E6E7A" w:rsidRDefault="00780A43">
      <w:pPr>
        <w:spacing w:after="150"/>
        <w:rPr>
          <w:rFonts w:ascii="Geist Sans" w:eastAsia="Geist Sans" w:hAnsi="Geist Sans" w:cs="Geist Sans"/>
          <w:color w:val="181D27"/>
        </w:rPr>
      </w:pPr>
      <w:r>
        <w:t>From a software engineering standpoint, the analysis underscores that technic</w:t>
      </w:r>
      <w:r>
        <w:t xml:space="preserve">al innovation alone is insufficient. The choice of an Agile Scrum methodology, combined with security‑by‑design practices and strong stakeholder collaboration, is critical to ensuring that CyberShield 360 remains aligned with </w:t>
      </w:r>
      <w:r>
        <w:lastRenderedPageBreak/>
        <w:t>evolving threats, organization</w:t>
      </w:r>
      <w:r>
        <w:t>al workflows, and regulatory expectations. Equally important are the recognition and management of limitations related to data quality, system integration, organizational culture, and ethical handling of security‑relevant information.</w:t>
      </w:r>
    </w:p>
    <w:p w:rsidR="009E6E7A" w:rsidRDefault="00780A43">
      <w:pPr>
        <w:spacing w:after="150"/>
        <w:rPr>
          <w:rFonts w:ascii="Geist Sans" w:eastAsia="Geist Sans" w:hAnsi="Geist Sans" w:cs="Geist Sans"/>
          <w:color w:val="181D27"/>
        </w:rPr>
      </w:pPr>
      <w:r>
        <w:t xml:space="preserve">Overall, CyberShield </w:t>
      </w:r>
      <w:r>
        <w:t xml:space="preserve">360 can be viewed as a holistic socio‑technical system that integrates advanced analytics with human expertise, governance structures, and organizational processes. The case study contributes an assignment‑ready framework for systematically examining such </w:t>
      </w:r>
      <w:r>
        <w:t>platforms—moving from problem understanding and stakeholder analysis through to system design, methodology justification, and reflection on outcomes and constraints—thereby supporting both academic learning and practical reasoning about complex cybersecuri</w:t>
      </w:r>
      <w:r>
        <w:t>ty solutions.</w:t>
      </w:r>
    </w:p>
    <w:p w:rsidR="009E6E7A" w:rsidRDefault="00780A43">
      <w:pPr>
        <w:pStyle w:val="ListParagraph"/>
        <w:numPr>
          <w:ilvl w:val="0"/>
          <w:numId w:val="2"/>
        </w:numPr>
        <w:spacing w:after="150"/>
        <w:rPr>
          <w:rFonts w:ascii="Geist Sans" w:eastAsia="Geist Sans" w:hAnsi="Geist Sans" w:cs="Geist Sans"/>
          <w:color w:val="181D27"/>
        </w:rPr>
      </w:pPr>
      <w:r>
        <w:rPr>
          <w:b/>
          <w:bCs/>
        </w:rPr>
        <w:t xml:space="preserve">Future work: </w:t>
      </w:r>
      <w:r>
        <w:t>Further elaboration of detailed architecture, test strategies, and deployment roadmaps can extend this analysis into an implementation-ready design.</w:t>
      </w:r>
    </w:p>
    <w:sectPr w:rsidR="009E6E7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ter">
    <w:charset w:val="00"/>
    <w:family w:val="auto"/>
    <w:pitch w:val="variable"/>
    <w:sig w:usb0="E0002AFF" w:usb1="C000247B" w:usb2="00000009" w:usb3="00000000" w:csb0="000001FF" w:csb1="00000000"/>
  </w:font>
  <w:font w:name="Times New Roman (Body CS)">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GeistMono">
    <w:charset w:val="00"/>
    <w:family w:val="auto"/>
    <w:pitch w:val="variable"/>
    <w:sig w:usb0="E0002AFF" w:usb1="C000247B" w:usb2="00000009" w:usb3="00000000" w:csb0="000001FF" w:csb1="00000000"/>
  </w:font>
  <w:font w:name="Elephant">
    <w:panose1 w:val="02020904090505020303"/>
    <w:charset w:val="00"/>
    <w:family w:val="roman"/>
    <w:pitch w:val="variable"/>
    <w:sig w:usb0="00000003" w:usb1="00000000" w:usb2="00000000" w:usb3="00000000" w:csb0="00000001" w:csb1="00000000"/>
  </w:font>
  <w:font w:name="Geist San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D402ACC"/>
    <w:multiLevelType w:val="hybridMultilevel"/>
    <w:tmpl w:val="0CDA462E"/>
    <w:lvl w:ilvl="0" w:tplc="E976D54C">
      <w:start w:val="1"/>
      <w:numFmt w:val="bullet"/>
      <w:lvlText w:val="●"/>
      <w:lvlJc w:val="left"/>
      <w:pPr>
        <w:ind w:left="720" w:hanging="360"/>
      </w:pPr>
    </w:lvl>
    <w:lvl w:ilvl="1" w:tplc="5B009D56">
      <w:start w:val="1"/>
      <w:numFmt w:val="bullet"/>
      <w:lvlText w:val="○"/>
      <w:lvlJc w:val="left"/>
      <w:pPr>
        <w:ind w:left="1440" w:hanging="360"/>
      </w:pPr>
    </w:lvl>
    <w:lvl w:ilvl="2" w:tplc="6DF4CAD2">
      <w:start w:val="1"/>
      <w:numFmt w:val="bullet"/>
      <w:lvlText w:val="■"/>
      <w:lvlJc w:val="left"/>
      <w:pPr>
        <w:ind w:left="2160" w:hanging="360"/>
      </w:pPr>
    </w:lvl>
    <w:lvl w:ilvl="3" w:tplc="5EBE2092">
      <w:start w:val="1"/>
      <w:numFmt w:val="bullet"/>
      <w:lvlText w:val="●"/>
      <w:lvlJc w:val="left"/>
      <w:pPr>
        <w:ind w:left="2880" w:hanging="360"/>
      </w:pPr>
    </w:lvl>
    <w:lvl w:ilvl="4" w:tplc="E9AA9B02">
      <w:start w:val="1"/>
      <w:numFmt w:val="bullet"/>
      <w:lvlText w:val="○"/>
      <w:lvlJc w:val="left"/>
      <w:pPr>
        <w:ind w:left="3600" w:hanging="360"/>
      </w:pPr>
    </w:lvl>
    <w:lvl w:ilvl="5" w:tplc="46AC891E">
      <w:start w:val="1"/>
      <w:numFmt w:val="bullet"/>
      <w:lvlText w:val="■"/>
      <w:lvlJc w:val="left"/>
      <w:pPr>
        <w:ind w:left="4320" w:hanging="360"/>
      </w:pPr>
    </w:lvl>
    <w:lvl w:ilvl="6" w:tplc="C21C4FAA">
      <w:start w:val="1"/>
      <w:numFmt w:val="bullet"/>
      <w:lvlText w:val="●"/>
      <w:lvlJc w:val="left"/>
      <w:pPr>
        <w:ind w:left="5040" w:hanging="360"/>
      </w:pPr>
    </w:lvl>
    <w:lvl w:ilvl="7" w:tplc="ACE8BE28">
      <w:start w:val="1"/>
      <w:numFmt w:val="bullet"/>
      <w:lvlText w:val="●"/>
      <w:lvlJc w:val="left"/>
      <w:pPr>
        <w:ind w:left="5760" w:hanging="360"/>
      </w:pPr>
    </w:lvl>
    <w:lvl w:ilvl="8" w:tplc="AED25030">
      <w:start w:val="1"/>
      <w:numFmt w:val="bullet"/>
      <w:lvlText w:val="●"/>
      <w:lvlJc w:val="left"/>
      <w:pPr>
        <w:ind w:left="6480" w:hanging="360"/>
      </w:pPr>
    </w:lvl>
  </w:abstractNum>
  <w:abstractNum w:abstractNumId="1" w15:restartNumberingAfterBreak="0">
    <w:nsid w:val="4C7910BD"/>
    <w:multiLevelType w:val="hybridMultilevel"/>
    <w:tmpl w:val="B4EA04D0"/>
    <w:lvl w:ilvl="0" w:tplc="0ED8E9BA">
      <w:start w:val="1"/>
      <w:numFmt w:val="decimal"/>
      <w:lvlText w:val="%1."/>
      <w:lvlJc w:val="left"/>
      <w:pPr>
        <w:ind w:left="360" w:hanging="360"/>
      </w:pPr>
    </w:lvl>
    <w:lvl w:ilvl="1" w:tplc="118A5860">
      <w:start w:val="1"/>
      <w:numFmt w:val="decimal"/>
      <w:lvlText w:val="%2."/>
      <w:lvlJc w:val="left"/>
      <w:pPr>
        <w:ind w:left="720" w:hanging="360"/>
      </w:pPr>
    </w:lvl>
    <w:lvl w:ilvl="2" w:tplc="EC008400">
      <w:start w:val="1"/>
      <w:numFmt w:val="decimal"/>
      <w:lvlText w:val="%3."/>
      <w:lvlJc w:val="left"/>
      <w:pPr>
        <w:ind w:left="1080" w:hanging="360"/>
      </w:pPr>
    </w:lvl>
    <w:lvl w:ilvl="3" w:tplc="5AC471F2">
      <w:start w:val="1"/>
      <w:numFmt w:val="decimal"/>
      <w:lvlText w:val="%4."/>
      <w:lvlJc w:val="left"/>
      <w:pPr>
        <w:ind w:left="1440" w:hanging="360"/>
      </w:pPr>
    </w:lvl>
    <w:lvl w:ilvl="4" w:tplc="CE426EDE">
      <w:start w:val="1"/>
      <w:numFmt w:val="decimal"/>
      <w:lvlText w:val="%5."/>
      <w:lvlJc w:val="left"/>
      <w:pPr>
        <w:ind w:left="1800" w:hanging="360"/>
      </w:pPr>
    </w:lvl>
    <w:lvl w:ilvl="5" w:tplc="A3545D88">
      <w:start w:val="1"/>
      <w:numFmt w:val="decimal"/>
      <w:lvlText w:val="%6."/>
      <w:lvlJc w:val="left"/>
      <w:pPr>
        <w:ind w:left="2160" w:hanging="360"/>
      </w:pPr>
    </w:lvl>
    <w:lvl w:ilvl="6" w:tplc="8698F06E">
      <w:start w:val="1"/>
      <w:numFmt w:val="decimal"/>
      <w:lvlText w:val="%7."/>
      <w:lvlJc w:val="left"/>
      <w:pPr>
        <w:ind w:left="2520" w:hanging="360"/>
      </w:pPr>
    </w:lvl>
    <w:lvl w:ilvl="7" w:tplc="5B58C9D6">
      <w:start w:val="1"/>
      <w:numFmt w:val="decimal"/>
      <w:lvlText w:val="%8."/>
      <w:lvlJc w:val="left"/>
      <w:pPr>
        <w:ind w:left="2880" w:hanging="360"/>
      </w:pPr>
    </w:lvl>
    <w:lvl w:ilvl="8" w:tplc="8E6E9B8C">
      <w:start w:val="1"/>
      <w:numFmt w:val="decimal"/>
      <w:lvlText w:val="%9."/>
      <w:lvlJc w:val="left"/>
      <w:pPr>
        <w:ind w:left="3240" w:hanging="360"/>
      </w:pPr>
    </w:lvl>
  </w:abstractNum>
  <w:abstractNum w:abstractNumId="2" w15:restartNumberingAfterBreak="0">
    <w:nsid w:val="581C76C0"/>
    <w:multiLevelType w:val="hybridMultilevel"/>
    <w:tmpl w:val="E04AF98E"/>
    <w:lvl w:ilvl="0" w:tplc="520C183E">
      <w:start w:val="1"/>
      <w:numFmt w:val="bullet"/>
      <w:lvlText w:val="•"/>
      <w:lvlJc w:val="left"/>
      <w:pPr>
        <w:ind w:left="360" w:hanging="360"/>
      </w:pPr>
    </w:lvl>
    <w:lvl w:ilvl="1" w:tplc="7E668954">
      <w:start w:val="1"/>
      <w:numFmt w:val="bullet"/>
      <w:lvlText w:val="•"/>
      <w:lvlJc w:val="left"/>
      <w:pPr>
        <w:ind w:left="720" w:hanging="360"/>
      </w:pPr>
    </w:lvl>
    <w:lvl w:ilvl="2" w:tplc="D2102944">
      <w:start w:val="1"/>
      <w:numFmt w:val="bullet"/>
      <w:lvlText w:val="•"/>
      <w:lvlJc w:val="left"/>
      <w:pPr>
        <w:ind w:left="1080" w:hanging="360"/>
      </w:pPr>
    </w:lvl>
    <w:lvl w:ilvl="3" w:tplc="845E8FA2">
      <w:start w:val="1"/>
      <w:numFmt w:val="bullet"/>
      <w:lvlText w:val="•"/>
      <w:lvlJc w:val="left"/>
      <w:pPr>
        <w:ind w:left="1440" w:hanging="360"/>
      </w:pPr>
    </w:lvl>
    <w:lvl w:ilvl="4" w:tplc="A92EB85A">
      <w:start w:val="1"/>
      <w:numFmt w:val="bullet"/>
      <w:lvlText w:val="•"/>
      <w:lvlJc w:val="left"/>
      <w:pPr>
        <w:ind w:left="1800" w:hanging="360"/>
      </w:pPr>
    </w:lvl>
    <w:lvl w:ilvl="5" w:tplc="EE8AC11A">
      <w:start w:val="1"/>
      <w:numFmt w:val="bullet"/>
      <w:lvlText w:val="•"/>
      <w:lvlJc w:val="left"/>
      <w:pPr>
        <w:ind w:left="2160" w:hanging="360"/>
      </w:pPr>
    </w:lvl>
    <w:lvl w:ilvl="6" w:tplc="901E620A">
      <w:start w:val="1"/>
      <w:numFmt w:val="bullet"/>
      <w:lvlText w:val="•"/>
      <w:lvlJc w:val="left"/>
      <w:pPr>
        <w:ind w:left="2520" w:hanging="360"/>
      </w:pPr>
    </w:lvl>
    <w:lvl w:ilvl="7" w:tplc="A33A5648">
      <w:start w:val="1"/>
      <w:numFmt w:val="bullet"/>
      <w:lvlText w:val="•"/>
      <w:lvlJc w:val="left"/>
      <w:pPr>
        <w:ind w:left="2880" w:hanging="360"/>
      </w:pPr>
    </w:lvl>
    <w:lvl w:ilvl="8" w:tplc="6F406FEE">
      <w:start w:val="1"/>
      <w:numFmt w:val="bullet"/>
      <w:lvlText w:val="•"/>
      <w:lvlJc w:val="left"/>
      <w:pPr>
        <w:ind w:left="3240" w:hanging="360"/>
      </w:pPr>
    </w:lvl>
  </w:abstractNum>
  <w:num w:numId="1">
    <w:abstractNumId w:val="0"/>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20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6E7A"/>
    <w:rsid w:val="00780A43"/>
    <w:rsid w:val="009E6E7A"/>
    <w:rsid w:val="00B85D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4BA90D6-25C0-4A4F-ADF6-EE682F078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GB"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B06B8"/>
    <w:pPr>
      <w:adjustRightInd w:val="0"/>
      <w:spacing w:before="45" w:after="45" w:line="360" w:lineRule="auto"/>
    </w:pPr>
    <w:rPr>
      <w:rFonts w:ascii="Inter" w:hAnsi="Inter" w:cs="Times New Roman (Body CS)"/>
    </w:rPr>
  </w:style>
  <w:style w:type="paragraph" w:styleId="Heading1">
    <w:name w:val="heading 1"/>
    <w:basedOn w:val="Normal"/>
    <w:next w:val="Normal"/>
    <w:link w:val="Heading1Char"/>
    <w:uiPriority w:val="9"/>
    <w:rsid w:val="00D078F7"/>
    <w:pPr>
      <w:outlineLvl w:val="0"/>
    </w:pPr>
    <w:rPr>
      <w:b/>
      <w:sz w:val="48"/>
      <w:szCs w:val="48"/>
    </w:rPr>
  </w:style>
  <w:style w:type="paragraph" w:styleId="Heading2">
    <w:name w:val="heading 2"/>
    <w:basedOn w:val="Normal"/>
    <w:next w:val="Normal"/>
    <w:link w:val="Heading2Char"/>
    <w:uiPriority w:val="9"/>
    <w:semiHidden/>
    <w:unhideWhenUsed/>
    <w:rsid w:val="005B06B8"/>
    <w:pPr>
      <w:outlineLvl w:val="1"/>
    </w:pPr>
    <w:rPr>
      <w:b/>
      <w:sz w:val="36"/>
      <w:szCs w:val="36"/>
    </w:rPr>
  </w:style>
  <w:style w:type="paragraph" w:styleId="Heading3">
    <w:name w:val="heading 3"/>
    <w:basedOn w:val="Normal"/>
    <w:next w:val="Normal"/>
    <w:link w:val="Heading3Char"/>
    <w:uiPriority w:val="9"/>
    <w:semiHidden/>
    <w:unhideWhenUsed/>
    <w:qFormat/>
    <w:rsid w:val="005B06B8"/>
    <w:pPr>
      <w:outlineLvl w:val="2"/>
    </w:pPr>
    <w:rPr>
      <w:b/>
      <w:sz w:val="28"/>
      <w:szCs w:val="28"/>
    </w:rPr>
  </w:style>
  <w:style w:type="paragraph" w:styleId="Heading4">
    <w:name w:val="heading 4"/>
    <w:basedOn w:val="Normal"/>
    <w:next w:val="Normal"/>
    <w:link w:val="Heading4Char"/>
    <w:uiPriority w:val="9"/>
    <w:semiHidden/>
    <w:unhideWhenUsed/>
    <w:qFormat/>
    <w:rsid w:val="005B06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06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06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06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06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06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78F7"/>
    <w:rPr>
      <w:rFonts w:asciiTheme="majorHAnsi" w:eastAsiaTheme="majorEastAsia" w:hAnsiTheme="majorHAnsi" w:cstheme="majorBidi"/>
      <w:sz w:val="40"/>
      <w:szCs w:val="40"/>
    </w:rPr>
  </w:style>
  <w:style w:type="character" w:customStyle="1" w:styleId="Heading2Char">
    <w:name w:val="Heading 2 Char"/>
    <w:basedOn w:val="DefaultParagraphFont"/>
    <w:link w:val="Heading2"/>
    <w:uiPriority w:val="9"/>
    <w:semiHidden/>
    <w:rsid w:val="005B06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06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06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06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06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06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06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06B8"/>
    <w:rPr>
      <w:rFonts w:eastAsiaTheme="majorEastAsia" w:cstheme="majorBidi"/>
      <w:color w:val="272727" w:themeColor="text1" w:themeTint="D8"/>
    </w:rPr>
  </w:style>
  <w:style w:type="paragraph" w:styleId="Title">
    <w:name w:val="Title"/>
    <w:basedOn w:val="Normal"/>
    <w:next w:val="Normal"/>
    <w:link w:val="TitleChar"/>
    <w:uiPriority w:val="10"/>
    <w:rsid w:val="005B06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06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06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06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06B8"/>
    <w:pPr>
      <w:spacing w:before="160"/>
      <w:jc w:val="center"/>
    </w:pPr>
    <w:rPr>
      <w:i/>
      <w:iCs/>
      <w:color w:val="404040" w:themeColor="text1" w:themeTint="BF"/>
    </w:rPr>
  </w:style>
  <w:style w:type="character" w:customStyle="1" w:styleId="QuoteChar">
    <w:name w:val="Quote Char"/>
    <w:basedOn w:val="DefaultParagraphFont"/>
    <w:link w:val="Quote"/>
    <w:uiPriority w:val="29"/>
    <w:rsid w:val="005B06B8"/>
    <w:rPr>
      <w:i/>
      <w:iCs/>
      <w:color w:val="404040" w:themeColor="text1" w:themeTint="BF"/>
    </w:rPr>
  </w:style>
  <w:style w:type="paragraph" w:styleId="ListParagraph">
    <w:name w:val="List Paragraph"/>
    <w:basedOn w:val="Normal"/>
    <w:uiPriority w:val="34"/>
    <w:qFormat/>
    <w:rsid w:val="005B06B8"/>
    <w:pPr>
      <w:ind w:left="720"/>
      <w:contextualSpacing/>
    </w:pPr>
  </w:style>
  <w:style w:type="character" w:styleId="IntenseEmphasis">
    <w:name w:val="Intense Emphasis"/>
    <w:basedOn w:val="DefaultParagraphFont"/>
    <w:uiPriority w:val="21"/>
    <w:qFormat/>
    <w:rsid w:val="005B06B8"/>
    <w:rPr>
      <w:i/>
      <w:iCs/>
      <w:color w:val="2F5496" w:themeColor="accent1" w:themeShade="BF"/>
    </w:rPr>
  </w:style>
  <w:style w:type="paragraph" w:styleId="IntenseQuote">
    <w:name w:val="Intense Quote"/>
    <w:basedOn w:val="Normal"/>
    <w:next w:val="Normal"/>
    <w:link w:val="IntenseQuoteChar"/>
    <w:uiPriority w:val="30"/>
    <w:qFormat/>
    <w:rsid w:val="005B06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06B8"/>
    <w:rPr>
      <w:i/>
      <w:iCs/>
      <w:color w:val="2F5496" w:themeColor="accent1" w:themeShade="BF"/>
    </w:rPr>
  </w:style>
  <w:style w:type="character" w:styleId="IntenseReference">
    <w:name w:val="Intense Reference"/>
    <w:basedOn w:val="DefaultParagraphFont"/>
    <w:uiPriority w:val="32"/>
    <w:qFormat/>
    <w:rsid w:val="005B06B8"/>
    <w:rPr>
      <w:b/>
      <w:bCs/>
      <w:smallCaps/>
      <w:color w:val="2F5496" w:themeColor="accent1" w:themeShade="BF"/>
      <w:spacing w:val="5"/>
    </w:rPr>
  </w:style>
  <w:style w:type="character" w:styleId="Hyperlink">
    <w:name w:val="Hyperlink"/>
    <w:basedOn w:val="DefaultParagraphFont"/>
    <w:uiPriority w:val="99"/>
    <w:unhideWhenUsed/>
    <w:rsid w:val="00F64863"/>
    <w:rPr>
      <w:color w:val="0000EF"/>
      <w:u w:val="single"/>
    </w:rPr>
  </w:style>
  <w:style w:type="character" w:styleId="UnresolvedMention">
    <w:name w:val="Unresolved Mention"/>
    <w:basedOn w:val="DefaultParagraphFont"/>
    <w:uiPriority w:val="99"/>
    <w:semiHidden/>
    <w:unhideWhenUsed/>
    <w:rsid w:val="00F64863"/>
    <w:rPr>
      <w:color w:val="605E5C"/>
      <w:shd w:val="clear" w:color="auto" w:fill="E1DFDD"/>
    </w:rPr>
  </w:style>
  <w:style w:type="paragraph" w:styleId="Caption">
    <w:name w:val="caption"/>
    <w:basedOn w:val="Normal"/>
    <w:next w:val="Normal"/>
    <w:uiPriority w:val="35"/>
    <w:unhideWhenUsed/>
    <w:qFormat/>
    <w:rsid w:val="00F64863"/>
    <w:pPr>
      <w:spacing w:before="0" w:after="200" w:line="240" w:lineRule="auto"/>
    </w:pPr>
    <w:rPr>
      <w:i/>
      <w:iCs/>
      <w:color w:val="44546A" w:themeColor="text2"/>
      <w:sz w:val="18"/>
      <w:szCs w:val="18"/>
    </w:rPr>
  </w:style>
  <w:style w:type="paragraph" w:customStyle="1" w:styleId="Codeblock">
    <w:name w:val="Codeblock"/>
    <w:basedOn w:val="Normal"/>
    <w:rPr>
      <w:rFonts w:ascii="GeistMono" w:eastAsia="GeistMono" w:hAnsi="GeistMono" w:cs="GeistMono"/>
      <w:noProof/>
      <w:color w:va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14</Pages>
  <Words>3440</Words>
  <Characters>19614</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2026-07-20T07:51:00Z</dcterms:created>
  <dcterms:modified xsi:type="dcterms:W3CDTF">2026-07-20T08:10:00Z</dcterms:modified>
</cp:coreProperties>
</file>