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Business Summary Report: Predictive Insights for Collections Strategy</w:t>
      </w:r>
    </w:p>
    <w:p>
      <w:pPr>
        <w:pStyle w:val="Heading2"/>
      </w:pPr>
      <w:r>
        <w:rPr>
          <w:color w:val="000000"/>
        </w:rPr>
        <w:t>1. Summary of Predictive Insights</w:t>
      </w:r>
    </w:p>
    <w:p>
      <w:r>
        <w:t>Top 3 Risk Factors:</w:t>
        <w:br/>
        <w:t>• Multiple Missed Payments – Customers with repeated late or missed payments are significantly more likely to become delinquent.</w:t>
        <w:br/>
        <w:t>• High Credit Utilization – Customers using a large percentage of their available credit show increased financial stress and repayment risk.</w:t>
        <w:br/>
        <w:t>• High Debt-to-Income Ratio – Customers with higher debt obligations relative to income may struggle to meet repayment commitments.</w:t>
        <w:br/>
        <w:br/>
        <w:t>High-Risk Customer Segments:</w:t>
        <w:br/>
        <w:t>• Customers with 2 or more missed payments during the previous six months.</w:t>
        <w:br/>
        <w:t>• Customers with high credit utilization and lower credit scores.</w:t>
        <w:br/>
        <w:t>• Customers with high debt-to-income ratios combined with outstanding loan balances.</w:t>
        <w:br/>
        <w:br/>
        <w:t>Key Insight Summary:</w:t>
        <w:br/>
        <w:t>The predictive model indicates that payment behavior is the strongest indicator of future delinquency. Customers demonstrating repeated missed payments, high credit utilization, and financial stress indicators should be prioritized for proactive intervention.</w:t>
        <w:br/>
      </w:r>
    </w:p>
    <w:p>
      <w:pPr>
        <w:pStyle w:val="Heading2"/>
      </w:pPr>
      <w:r>
        <w:rPr>
          <w:color w:val="000000"/>
        </w:rPr>
        <w:t>2. Recommendation Framework</w:t>
      </w:r>
    </w:p>
    <w:p>
      <w:r>
        <w:t>Restated Insight:</w:t>
        <w:br/>
        <w:t>Customers with multiple missed payments are at substantially higher risk of becoming delinquent.</w:t>
        <w:br/>
        <w:br/>
        <w:t>Proposed Recommendation (SMART Goal):</w:t>
        <w:br/>
        <w:br/>
        <w:t>Specific:</w:t>
        <w:br/>
        <w:t>Launch a targeted SMS and email outreach program for customers who have recorded two or more missed payments within the last six months.</w:t>
        <w:br/>
        <w:br/>
        <w:t>Measurable:</w:t>
        <w:br/>
        <w:t>Reduce 30-day delinquency rates within the targeted segment by 10%.</w:t>
        <w:br/>
        <w:br/>
        <w:t>Actionable:</w:t>
        <w:br/>
        <w:t>Provide payment reminders, self-service repayment options, and support resources.</w:t>
        <w:br/>
        <w:br/>
        <w:t>Relevant:</w:t>
        <w:br/>
        <w:t>The recommendation directly addresses the strongest delinquency predictor identified by the model.</w:t>
        <w:br/>
        <w:br/>
        <w:t>Time-bound:</w:t>
        <w:br/>
        <w:t>Implement the pilot program over a six-week period and evaluate results at the end of the campaign.</w:t>
        <w:br/>
        <w:br/>
        <w:t>Justification and Business Rationale:</w:t>
        <w:br/>
        <w:t>Early intervention can help customers address payment challenges before accounts become delinquent. By focusing on customers identified as high risk, Geldium can improve collection outcomes, reduce financial losses, and allocate resources more efficiently. The recommendation is practical, measurable, and aligned with the organization’s objective of reducing delinquency risk.</w:t>
        <w:br/>
      </w:r>
    </w:p>
    <w:p>
      <w:pPr>
        <w:pStyle w:val="Heading2"/>
      </w:pPr>
      <w:r>
        <w:rPr>
          <w:color w:val="000000"/>
        </w:rPr>
        <w:t>3. Ethical and Responsible AI Considerations</w:t>
      </w:r>
    </w:p>
    <w:p>
      <w:r>
        <w:t>Fairness Risk 1:</w:t>
        <w:br/>
        <w:t>The model may unintentionally produce different outcomes across employment groups or customer segments.</w:t>
        <w:br/>
        <w:br/>
        <w:t>Mitigation:</w:t>
        <w:br/>
        <w:t>Regularly monitor model performance across demographic and employment categories and investigate significant differences in error rates.</w:t>
        <w:br/>
        <w:br/>
        <w:t>Fairness Risk 2:</w:t>
        <w:br/>
        <w:t>Historical data may contain biases that influence future predictions.</w:t>
        <w:br/>
        <w:br/>
        <w:t>Mitigation:</w:t>
        <w:br/>
        <w:t>Perform fairness testing, review feature selection carefully, and retrain the model using updated and representative data.</w:t>
        <w:br/>
        <w:br/>
        <w:t>Explainability:</w:t>
        <w:br/>
        <w:t>The selected Logistic Regression model provides transparent predictions. Business users can understand which variables contributed most strongly to delinquency risk, making results easier to communicate and justify.</w:t>
        <w:br/>
        <w:br/>
        <w:t>Responsible AI Practices:</w:t>
        <w:br/>
        <w:t>• Maintain transparency regarding how predictions are generated.</w:t>
        <w:br/>
        <w:t>• Protect customer privacy and sensitive financial information.</w:t>
        <w:br/>
        <w:t>• Use model outputs as decision-support tools rather than fully automated decisions.</w:t>
        <w:br/>
        <w:t>• Conduct periodic reviews to ensure fairness, accuracy, and regulatory compliance.</w:t>
        <w:br/>
        <w:br/>
        <w:t>Conclusion:</w:t>
        <w:br/>
        <w:t>The predictive analysis highlights missed payments, credit utilization, and debt-to-income ratio as the strongest delinquency indicators. By implementing targeted outreach for high-risk customers while maintaining fairness and transparency, Geldium can reduce delinquency rates and support responsible financial decision-making.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