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B3A71"/>
          <w:spacing w:val="20"/>
          <w:sz w:val="20"/>
          <w:szCs w:val="20"/>
        </w:rPr>
        <w:t xml:space="preserve">CODE WATERMARK EXPERIMENT</w:t>
      </w:r>
    </w:p>
    <w:p>
      <w:pPr>
        <w:spacing w:after="200"/>
      </w:pPr>
      <w:r>
        <w:rPr>
          <w:b/>
          <w:bCs/>
          <w:sz w:val="40"/>
          <w:szCs w:val="40"/>
        </w:rPr>
        <w:t xml:space="preserve">Key Results</w:t>
      </w:r>
    </w:p>
    <w:p>
      <w:pPr>
        <w:spacing w:after="240"/>
      </w:pPr>
      <w:r>
        <w:rPr>
          <w:color w:val="6F6A61"/>
          <w:sz w:val="21"/>
          <w:szCs w:val="21"/>
        </w:rPr>
        <w:t xml:space="preserve">Tested STONE, KGW, and SWEET — three published AI-code watermarking schemes — on AI-generated Python code placed inside the real lutris/lutris repository, across 16 real developer operations (git history, formatting/linting, and packaging), repeated 7–10 times each.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Git operations — </w:t>
      </w:r>
      <w:r>
        <w:t xml:space="preserve">squashing, rebasing, cherry-picking, and fork syncing never affected any watermark, in any tested run. These operations rewrite history, not the code text the watermark lives 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Packaging — </w:t>
      </w:r>
      <w:r>
        <w:t xml:space="preserve">zipping the source or building an installable Python package preserved every watermark. Compiling to bytecode-only destroyed all three completely (0/10 STONE, 0/7 KGW, 0/1 SWEET) — not “hard to detect,” impossible, since no source text remains to check.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STONE vs. KGW showed opposite weaknesses </w:t>
      </w:r>
      <w:r>
        <w:t xml:space="preserve">under identical settings — the only difference between them is which tokens each scheme marks:</w:t>
      </w:r>
    </w:p>
    <w:p>
      <w:pPr>
        <w:spacing w:after="0" w:before="6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2600"/>
      </w:tblGrid>
      <w:tr>
        <w:tc>
          <w:tcPr>
            <w:tcW w:type="dxa" w:w="2600"/>
            <w:shd w:fill="EAED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1500"/>
            <w:shd w:fill="EAED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STONE</w:t>
            </w:r>
          </w:p>
        </w:tc>
        <w:tc>
          <w:tcPr>
            <w:tcW w:type="dxa" w:w="1500"/>
            <w:shd w:fill="EAED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KGW</w:t>
            </w:r>
          </w:p>
        </w:tc>
        <w:tc>
          <w:tcPr>
            <w:tcW w:type="dxa" w:w="2600"/>
            <w:shd w:fill="EAED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Reads 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 renaming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F7D4F"/>
                <w:sz w:val="20"/>
                <w:szCs w:val="20"/>
              </w:rPr>
              <w:t xml:space="preserve">10/10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A13A3A"/>
                <w:sz w:val="20"/>
                <w:szCs w:val="20"/>
              </w:rPr>
              <w:t xml:space="preserve">0/7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Opposite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Minification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F7D4F"/>
                <w:sz w:val="20"/>
                <w:szCs w:val="20"/>
              </w:rPr>
              <w:t xml:space="preserve">9/10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A13A3A"/>
                <w:sz w:val="20"/>
                <w:szCs w:val="20"/>
              </w:rPr>
              <w:t xml:space="preserve">0/7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Opposite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Dead-code insertion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F7D4F"/>
                <w:sz w:val="20"/>
                <w:szCs w:val="20"/>
              </w:rPr>
              <w:t xml:space="preserve">10/10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A13A3A"/>
                <w:sz w:val="20"/>
                <w:szCs w:val="20"/>
              </w:rPr>
              <w:t xml:space="preserve">2/7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Opposite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Combined (stacked) edits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F7D4F"/>
                <w:sz w:val="20"/>
                <w:szCs w:val="20"/>
              </w:rPr>
              <w:t xml:space="preserve">10/10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A13A3A"/>
                <w:sz w:val="20"/>
                <w:szCs w:val="20"/>
              </w:rPr>
              <w:t xml:space="preserve">0/7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Opposite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Auto-formatting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A13A3A"/>
                <w:sz w:val="20"/>
                <w:szCs w:val="20"/>
              </w:rPr>
              <w:t xml:space="preserve">4/10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F7D4F"/>
                <w:sz w:val="20"/>
                <w:szCs w:val="20"/>
              </w:rPr>
              <w:t xml:space="preserve">7/7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Opposite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restructuring (AST rewrite)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A13A3A"/>
                <w:sz w:val="20"/>
                <w:szCs w:val="20"/>
              </w:rPr>
              <w:t xml:space="preserve">1/10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A13A3A"/>
                <w:sz w:val="20"/>
                <w:szCs w:val="20"/>
              </w:rPr>
              <w:t xml:space="preserve">3/7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weak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Bytecode-only compile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A13A3A"/>
                <w:sz w:val="20"/>
                <w:szCs w:val="20"/>
              </w:rPr>
              <w:t xml:space="preserve">0/10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A13A3A"/>
                <w:sz w:val="20"/>
                <w:szCs w:val="20"/>
              </w:rPr>
              <w:t xml:space="preserve">0/7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destroyed</w:t>
            </w:r>
          </w:p>
        </w:tc>
      </w:tr>
    </w:tbl>
    <w:p>
      <w:pPr>
        <w:spacing w:after="200" w:before="0"/>
      </w:pPr>
    </w:p>
    <w:p>
      <w:pPr>
        <w:pStyle w:val="ListParagraph"/>
        <w:numPr>
          <w:ilvl w:val="0"/>
          <w:numId w:val="2"/>
        </w:numPr>
        <w:spacing w:after="120"/>
      </w:pPr>
      <w:r>
        <w:t xml:space="preserve">STONE marks only “content” tokens and skips code structure; KGW marks everything, structure included. That single design choice is why renaming and minifying break KGW but not STONE, while formatting does the reverse.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Code length strongly predicted starting watermark strength: </w:t>
      </w:r>
      <w:r>
        <w:t xml:space="preserve">r = 0.99 (STONE), r = 0.88 (KGW). Any reported survival number is meaningless without stating how much code it was measured 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SWEET was inconclusive: </w:t>
      </w:r>
      <w:r>
        <w:t xml:space="preserve">6 of 7 attempts never produced a detectable watermark at all on our small (164M-parameter) model — a compatibility problem, not a mutation result. Needs a larger model (and more memory — a run crashed from host memory exhaustion, confirmed independently of the code).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Overall: </w:t>
      </w:r>
      <w:r>
        <w:t xml:space="preserve">no scheme in this test is universally robust. Different ordinary software operations expose different weaknesses, and the weakness traces directly to what the scheme chose to mark.</w:t>
      </w:r>
    </w:p>
    <w:p>
      <w:pPr>
        <w:pBdr>
          <w:top w:val="single" w:color="E4DFD3" w:sz="4" w:space="8"/>
        </w:pBdr>
        <w:spacing w:before="260"/>
      </w:pPr>
      <w:r>
        <w:rPr>
          <w:b/>
          <w:bCs/>
          <w:color w:val="6F6A61"/>
          <w:sz w:val="18"/>
          <w:szCs w:val="18"/>
        </w:rPr>
        <w:t xml:space="preserve">Limitations: </w:t>
      </w:r>
      <w:r>
        <w:rPr>
          <w:color w:val="6F6A61"/>
          <w:sz w:val="18"/>
          <w:szCs w:val="18"/>
        </w:rPr>
        <w:t xml:space="preserve">small sample sizes (7–10 runs), one small model, one repository, single generated functions rather than full codebases, and a watermark strength setting raised above each scheme’s typical published range to keep the small model’s signal detectable — applied equally to all three schemes, so it doesn’t favor one, but means none of these rates are “real-world” robustness numbers at default settings.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2026-09-21T13:07:33.964Z</dcterms:created>
  <dcterms:modified xsi:type="dcterms:W3CDTF">2026-09-21T13:07:33.970Z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