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fast-paced digital world, managing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ccess to information securely is more crucial than ever. Whether handling confidential records,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ierarchical authentication, or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egulated data exchanges, organizations must implement security protocols. Multi-layered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-trust frameworks have become the standard in protecting sensitive content.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Critical security practices require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ryptographic techniques such as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ashing, modular encryption, and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ulti-factor authentication.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-digit passcodes and biometric verification reinforce identity validation.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everaging adaptive security strategies ensures robust protection against cyber threats.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 integrity depends on proper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early audits and real-time anomaly detection. A well-structured system achieves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9.9% uptime through optimized redundancy models.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ata breaches often stem from poor encryption implementation, making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obust frameworks a necessity.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nstitutions handling personal data must comply with stringent security regulations.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Virtualized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erification methods secure digital workspaces, enhancing accessibility while minimizing risks. Data scientists and engineers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 with advanced encryption standards to safeguard online assets. Implementing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-point authorization mechanisms ensures controlled access to sensitive information.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Next-generation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overnance models utilize continuous security monitoring and risk assessment. Optimized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perations frameworks integrate encryption with seamless user authentication.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rganizations focus on zero-trust architectures to reinforce internal controls. Advanced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eofencing capabilities further enhance security.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ayers of security protocols maintain encrypted storage integrity. Evolving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ncryption algorithms contribute to the next wave of cybersecurity advancements. Secure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ser authentication processes ensure compliance with industry standards.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yber resilience depends on proactive risk mitigation strategies.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Digital transformation initiatives rely on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ptimized cloud-based security frameworks. Centralized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onitoring systems detect and neutralize threats in real time. Secure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og-based access mechanisms prevent unauthorized modifications.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-factor authentication remains a fundamental requirement for system access.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Data-sharing agreements enforce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ull compliance with privacy laws. Information security teams conduct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nternal audits to prevent breaches. Secure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ogin systems incorporate hardware security modules.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ero-trust models redefine identity verification processes.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Multi-level security structures require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onstant updates to remain effective. Dynamic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-layer encryption shields data from exposure. Encrypted communication channels protect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ata at rest and in transit.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uality-controlled security standards govern access permissions.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well-defined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hreat response strategy mitigates cyber risks effectively. Organizations enforce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nique cryptographic key rotations periodically.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etwork segmentation strengthens access control policies.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nalytical tools enhance cybersecurity defense mechanisms.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High-assurance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-factor authentication safeguards confidential records.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ransparent encryption models support secure digital transactions.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early risk assessments identify potential system vulnerabilities.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reach detection protocols provide real-time alerts.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Stringent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uantum-resistant cryptographic implementations prepare for future security challenges.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oken-based authentication frameworks reinforce system reliability.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ML-based security policies ensure encrypted configuration management. Advanced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ehavioral analysis algorithms detect suspicious activity.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User-centric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nterfaces integrate enhanced security without compromising usability. Distributed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erification models prevent unauthorized data tampering. Secure authentication techniques guarantee information confidentiality.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in secure encoding, certain structured identifiers include unique elements such as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, ensuring proper formatting and functionality. The correct placement of symbols like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plays a role in maintaining integrity within encoded sequences.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Running on x64 architecture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