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Benchmark Comparison for Indic Embedding Evaluation</w:t>
      </w:r>
    </w:p>
    <w:p>
      <w:pPr>
        <w:jc w:val="center"/>
      </w:pPr>
      <w:r>
        <w:rPr>
          <w:i/>
          <w:sz w:val="18"/>
        </w:rPr>
        <w:t>Nikunj threshold benchmark vs. Samanantar retrieval benchmark vs. Samanantar average-cosine benchmark</w:t>
      </w:r>
    </w:p>
    <w:p>
      <w:pPr>
        <w:pStyle w:val="Heading1"/>
      </w:pPr>
      <w:r>
        <w:t>1. The Three Benchmark Setups</w:t>
      </w:r>
    </w:p>
    <w:tbl>
      <w:tblPr>
        <w:tblStyle w:val="TableGrid"/>
        <w:tblW w:type="auto" w:w="0"/>
        <w:jc w:val="center"/>
        <w:tblLook w:firstColumn="1" w:firstRow="1" w:lastColumn="0" w:lastRow="0" w:noHBand="0" w:noVBand="1" w:val="04A0"/>
      </w:tblPr>
      <w:tblGrid>
        <w:gridCol w:w="3050"/>
        <w:gridCol w:w="3050"/>
        <w:gridCol w:w="3050"/>
        <w:gridCol w:w="3050"/>
        <w:gridCol w:w="3050"/>
      </w:tblGrid>
      <w:tr>
        <w:tc>
          <w:tcPr>
            <w:tcW w:type="dxa" w:w="504"/>
            <w:vAlign w:val="center"/>
            <w:shd w:fill="1F4E79"/>
          </w:tcPr>
          <w:p>
            <w:pPr>
              <w:jc w:val="center"/>
            </w:pPr>
            <w:r/>
            <w:r>
              <w:rPr>
                <w:b/>
                <w:color w:val="FFFFFF"/>
                <w:sz w:val="16"/>
              </w:rPr>
              <w:t>No.</w:t>
            </w:r>
          </w:p>
        </w:tc>
        <w:tc>
          <w:tcPr>
            <w:tcW w:type="dxa" w:w="3240"/>
            <w:vAlign w:val="center"/>
            <w:shd w:fill="1F4E79"/>
          </w:tcPr>
          <w:p>
            <w:pPr>
              <w:jc w:val="center"/>
            </w:pPr>
            <w:r/>
            <w:r>
              <w:rPr>
                <w:b/>
                <w:color w:val="FFFFFF"/>
                <w:sz w:val="16"/>
              </w:rPr>
              <w:t>Benchmark</w:t>
            </w:r>
          </w:p>
        </w:tc>
        <w:tc>
          <w:tcPr>
            <w:tcW w:type="dxa" w:w="3528"/>
            <w:vAlign w:val="center"/>
            <w:shd w:fill="1F4E79"/>
          </w:tcPr>
          <w:p>
            <w:pPr>
              <w:jc w:val="center"/>
            </w:pPr>
            <w:r/>
            <w:r>
              <w:rPr>
                <w:b/>
                <w:color w:val="FFFFFF"/>
                <w:sz w:val="16"/>
              </w:rPr>
              <w:t>Data used</w:t>
            </w:r>
          </w:p>
        </w:tc>
        <w:tc>
          <w:tcPr>
            <w:tcW w:type="dxa" w:w="2952"/>
            <w:vAlign w:val="center"/>
            <w:shd w:fill="1F4E79"/>
          </w:tcPr>
          <w:p>
            <w:pPr>
              <w:jc w:val="center"/>
            </w:pPr>
            <w:r/>
            <w:r>
              <w:rPr>
                <w:b/>
                <w:color w:val="FFFFFF"/>
                <w:sz w:val="16"/>
              </w:rPr>
              <w:t>Main metrics</w:t>
            </w:r>
          </w:p>
        </w:tc>
        <w:tc>
          <w:tcPr>
            <w:tcW w:type="dxa" w:w="3312"/>
            <w:vAlign w:val="center"/>
            <w:shd w:fill="1F4E79"/>
          </w:tcPr>
          <w:p>
            <w:pPr>
              <w:jc w:val="center"/>
            </w:pPr>
            <w:r/>
            <w:r>
              <w:rPr>
                <w:b/>
                <w:color w:val="FFFFFF"/>
                <w:sz w:val="16"/>
              </w:rPr>
              <w:t>What it answers</w:t>
            </w:r>
          </w:p>
        </w:tc>
      </w:tr>
      <w:tr>
        <w:tc>
          <w:tcPr>
            <w:tcW w:type="dxa" w:w="504"/>
            <w:vAlign w:val="center"/>
          </w:tcPr>
          <w:p>
            <w:pPr>
              <w:jc w:val="center"/>
            </w:pPr>
            <w:r/>
            <w:r>
              <w:rPr>
                <w:b w:val="0"/>
                <w:sz w:val="16"/>
              </w:rPr>
              <w:t>1</w:t>
            </w:r>
          </w:p>
        </w:tc>
        <w:tc>
          <w:tcPr>
            <w:tcW w:type="dxa" w:w="3240"/>
            <w:vAlign w:val="center"/>
          </w:tcPr>
          <w:p>
            <w:pPr>
              <w:jc w:val="left"/>
            </w:pPr>
            <w:r/>
            <w:r>
              <w:rPr>
                <w:b w:val="0"/>
                <w:sz w:val="16"/>
              </w:rPr>
              <w:t>Nikunj Samanantar Gold-Pair Threshold Benchmark</w:t>
            </w:r>
          </w:p>
        </w:tc>
        <w:tc>
          <w:tcPr>
            <w:tcW w:type="dxa" w:w="3528"/>
            <w:vAlign w:val="center"/>
          </w:tcPr>
          <w:p>
            <w:pPr>
              <w:jc w:val="left"/>
            </w:pPr>
            <w:r/>
            <w:r>
              <w:rPr>
                <w:b w:val="0"/>
                <w:sz w:val="16"/>
              </w:rPr>
              <w:t>Samanantar; 500 random pairs for Hindi-English and Tamil-English</w:t>
            </w:r>
          </w:p>
        </w:tc>
        <w:tc>
          <w:tcPr>
            <w:tcW w:type="dxa" w:w="2952"/>
            <w:vAlign w:val="center"/>
          </w:tcPr>
          <w:p>
            <w:pPr>
              <w:jc w:val="left"/>
            </w:pPr>
            <w:r/>
            <w:r>
              <w:rPr>
                <w:b w:val="0"/>
                <w:sz w:val="16"/>
              </w:rPr>
              <w:t>Mean gold-pair cosine; % pairs above 0.80 and 0.60</w:t>
            </w:r>
          </w:p>
        </w:tc>
        <w:tc>
          <w:tcPr>
            <w:tcW w:type="dxa" w:w="3312"/>
            <w:vAlign w:val="center"/>
          </w:tcPr>
          <w:p>
            <w:pPr>
              <w:jc w:val="left"/>
            </w:pPr>
            <w:r/>
            <w:r>
              <w:rPr>
                <w:b w:val="0"/>
                <w:sz w:val="16"/>
              </w:rPr>
              <w:t>Checks whether true translation pairs cross a fixed cosine threshold.</w:t>
            </w:r>
          </w:p>
        </w:tc>
      </w:tr>
      <w:tr>
        <w:tc>
          <w:tcPr>
            <w:tcW w:type="dxa" w:w="504"/>
            <w:vAlign w:val="center"/>
          </w:tcPr>
          <w:p>
            <w:pPr>
              <w:jc w:val="center"/>
            </w:pPr>
            <w:r/>
            <w:r>
              <w:rPr>
                <w:b w:val="0"/>
                <w:sz w:val="16"/>
              </w:rPr>
              <w:t>2</w:t>
            </w:r>
          </w:p>
        </w:tc>
        <w:tc>
          <w:tcPr>
            <w:tcW w:type="dxa" w:w="3240"/>
            <w:vAlign w:val="center"/>
          </w:tcPr>
          <w:p>
            <w:pPr>
              <w:jc w:val="left"/>
            </w:pPr>
            <w:r/>
            <w:r>
              <w:rPr>
                <w:b w:val="0"/>
                <w:sz w:val="16"/>
              </w:rPr>
              <w:t>Samanantar Translation Retrieval Benchmark</w:t>
            </w:r>
          </w:p>
        </w:tc>
        <w:tc>
          <w:tcPr>
            <w:tcW w:type="dxa" w:w="3528"/>
            <w:vAlign w:val="center"/>
          </w:tcPr>
          <w:p>
            <w:pPr>
              <w:jc w:val="left"/>
            </w:pPr>
            <w:r/>
            <w:r>
              <w:rPr>
                <w:b w:val="0"/>
                <w:sz w:val="16"/>
              </w:rPr>
              <w:t>Samanantar; 2,000 pairs per Indic language; English-&gt;Indic and Indic-&gt;English directions</w:t>
            </w:r>
          </w:p>
        </w:tc>
        <w:tc>
          <w:tcPr>
            <w:tcW w:type="dxa" w:w="2952"/>
            <w:vAlign w:val="center"/>
          </w:tcPr>
          <w:p>
            <w:pPr>
              <w:jc w:val="left"/>
            </w:pPr>
            <w:r/>
            <w:r>
              <w:rPr>
                <w:b w:val="0"/>
                <w:sz w:val="16"/>
              </w:rPr>
              <w:t>Accuracy@1, Recall@10, MRR, cosine gap</w:t>
            </w:r>
          </w:p>
        </w:tc>
        <w:tc>
          <w:tcPr>
            <w:tcW w:type="dxa" w:w="3312"/>
            <w:vAlign w:val="center"/>
          </w:tcPr>
          <w:p>
            <w:pPr>
              <w:jc w:val="left"/>
            </w:pPr>
            <w:r/>
            <w:r>
              <w:rPr>
                <w:b w:val="0"/>
                <w:sz w:val="16"/>
              </w:rPr>
              <w:t>Checks whether the correct translation is ranked nearest among all candidates.</w:t>
            </w:r>
          </w:p>
        </w:tc>
      </w:tr>
      <w:tr>
        <w:tc>
          <w:tcPr>
            <w:tcW w:type="dxa" w:w="504"/>
            <w:vAlign w:val="center"/>
          </w:tcPr>
          <w:p>
            <w:pPr>
              <w:jc w:val="center"/>
            </w:pPr>
            <w:r/>
            <w:r>
              <w:rPr>
                <w:b w:val="0"/>
                <w:sz w:val="16"/>
              </w:rPr>
              <w:t>3</w:t>
            </w:r>
          </w:p>
        </w:tc>
        <w:tc>
          <w:tcPr>
            <w:tcW w:type="dxa" w:w="3240"/>
            <w:vAlign w:val="center"/>
          </w:tcPr>
          <w:p>
            <w:pPr>
              <w:jc w:val="left"/>
            </w:pPr>
            <w:r/>
            <w:r>
              <w:rPr>
                <w:b w:val="0"/>
                <w:sz w:val="16"/>
              </w:rPr>
              <w:t>Samanantar Average Gold-Pair Cosine Benchmark</w:t>
            </w:r>
          </w:p>
        </w:tc>
        <w:tc>
          <w:tcPr>
            <w:tcW w:type="dxa" w:w="3528"/>
            <w:vAlign w:val="center"/>
          </w:tcPr>
          <w:p>
            <w:pPr>
              <w:jc w:val="left"/>
            </w:pPr>
            <w:r/>
            <w:r>
              <w:rPr>
                <w:b w:val="0"/>
                <w:sz w:val="16"/>
              </w:rPr>
              <w:t>Samanantar; 2,000 pairs per language pair</w:t>
            </w:r>
          </w:p>
        </w:tc>
        <w:tc>
          <w:tcPr>
            <w:tcW w:type="dxa" w:w="2952"/>
            <w:vAlign w:val="center"/>
          </w:tcPr>
          <w:p>
            <w:pPr>
              <w:jc w:val="left"/>
            </w:pPr>
            <w:r/>
            <w:r>
              <w:rPr>
                <w:b w:val="0"/>
                <w:sz w:val="16"/>
              </w:rPr>
              <w:t>Mean cosine, median cosine, std, min/max, % above thresholds</w:t>
            </w:r>
          </w:p>
        </w:tc>
        <w:tc>
          <w:tcPr>
            <w:tcW w:type="dxa" w:w="3312"/>
            <w:vAlign w:val="center"/>
          </w:tcPr>
          <w:p>
            <w:pPr>
              <w:jc w:val="left"/>
            </w:pPr>
            <w:r/>
            <w:r>
              <w:rPr>
                <w:b w:val="0"/>
                <w:sz w:val="16"/>
              </w:rPr>
              <w:t>Checks average closeness of only the gold translation pairs.</w:t>
            </w:r>
          </w:p>
        </w:tc>
      </w:tr>
    </w:tbl>
    <w:p>
      <w:r>
        <w:rPr>
          <w:b/>
        </w:rPr>
        <w:t>Key point: these benchmarks are related, but they are not interchangeable. A fixed cosine-threshold score, an average cosine score, and a retrieval Accuracy@1 score answer different questions.</w:t>
      </w:r>
    </w:p>
    <w:p>
      <w:pPr>
        <w:pStyle w:val="Heading1"/>
      </w:pPr>
      <w:r>
        <w:t>2. Nikunj Samanantar Gold-Pair Threshold Benchmark</w:t>
      </w:r>
    </w:p>
    <w:p>
      <w:r>
        <w:rPr>
          <w:b/>
        </w:rPr>
        <w:t xml:space="preserve">Method. </w:t>
      </w:r>
      <w:r>
        <w:t>Nikunj sampled 500 Samanantar translation pairs for Hindi-English and Tamil-English. For each model, the notebook encoded the source and target sentences, computed the cosine similarity for each gold translation pair, and summarized the score distribution. This is a gold-pair similarity evaluation, not a retrieval evaluation.</w:t>
      </w:r>
    </w:p>
    <w:tbl>
      <w:tblPr>
        <w:tblStyle w:val="TableGrid"/>
        <w:tblW w:type="auto" w:w="0"/>
        <w:jc w:val="center"/>
        <w:tblLook w:firstColumn="1" w:firstRow="1" w:lastColumn="0" w:lastRow="0" w:noHBand="0" w:noVBand="1" w:val="04A0"/>
      </w:tblPr>
      <w:tblGrid>
        <w:gridCol w:w="3050"/>
        <w:gridCol w:w="3050"/>
        <w:gridCol w:w="3050"/>
        <w:gridCol w:w="3050"/>
        <w:gridCol w:w="3050"/>
      </w:tblGrid>
      <w:tr>
        <w:tc>
          <w:tcPr>
            <w:tcW w:type="dxa" w:w="2088"/>
            <w:vAlign w:val="center"/>
            <w:shd w:fill="1F4E79"/>
          </w:tcPr>
          <w:p>
            <w:pPr>
              <w:jc w:val="center"/>
            </w:pPr>
            <w:r/>
            <w:r>
              <w:rPr>
                <w:b/>
                <w:color w:val="FFFFFF"/>
                <w:sz w:val="16"/>
              </w:rPr>
              <w:t>Model</w:t>
            </w:r>
          </w:p>
        </w:tc>
        <w:tc>
          <w:tcPr>
            <w:tcW w:type="dxa" w:w="1440"/>
            <w:vAlign w:val="center"/>
            <w:shd w:fill="1F4E79"/>
          </w:tcPr>
          <w:p>
            <w:pPr>
              <w:jc w:val="center"/>
            </w:pPr>
            <w:r/>
            <w:r>
              <w:rPr>
                <w:b/>
                <w:color w:val="FFFFFF"/>
                <w:sz w:val="16"/>
              </w:rPr>
              <w:t>Pair</w:t>
            </w:r>
          </w:p>
        </w:tc>
        <w:tc>
          <w:tcPr>
            <w:tcW w:type="dxa" w:w="1440"/>
            <w:vAlign w:val="center"/>
            <w:shd w:fill="1F4E79"/>
          </w:tcPr>
          <w:p>
            <w:pPr>
              <w:jc w:val="center"/>
            </w:pPr>
            <w:r/>
            <w:r>
              <w:rPr>
                <w:b/>
                <w:color w:val="FFFFFF"/>
                <w:sz w:val="16"/>
              </w:rPr>
              <w:t>Mean cosine</w:t>
            </w:r>
          </w:p>
        </w:tc>
        <w:tc>
          <w:tcPr>
            <w:tcW w:type="dxa" w:w="1584"/>
            <w:vAlign w:val="center"/>
            <w:shd w:fill="1F4E79"/>
          </w:tcPr>
          <w:p>
            <w:pPr>
              <w:jc w:val="center"/>
            </w:pPr>
            <w:r/>
            <w:r>
              <w:rPr>
                <w:b/>
                <w:color w:val="FFFFFF"/>
                <w:sz w:val="16"/>
              </w:rPr>
              <w:t>Pairs &gt; 0.80</w:t>
            </w:r>
          </w:p>
        </w:tc>
        <w:tc>
          <w:tcPr>
            <w:tcW w:type="dxa" w:w="1584"/>
            <w:vAlign w:val="center"/>
            <w:shd w:fill="1F4E79"/>
          </w:tcPr>
          <w:p>
            <w:pPr>
              <w:jc w:val="center"/>
            </w:pPr>
            <w:r/>
            <w:r>
              <w:rPr>
                <w:b/>
                <w:color w:val="FFFFFF"/>
                <w:sz w:val="16"/>
              </w:rPr>
              <w:t>Pairs &gt; 0.60</w:t>
            </w:r>
          </w:p>
        </w:tc>
      </w:tr>
      <w:tr>
        <w:tc>
          <w:tcPr>
            <w:tcW w:type="dxa" w:w="2088"/>
            <w:vAlign w:val="center"/>
          </w:tcPr>
          <w:p>
            <w:pPr>
              <w:jc w:val="center"/>
            </w:pPr>
            <w:r/>
            <w:r>
              <w:rPr>
                <w:b w:val="0"/>
                <w:sz w:val="16"/>
              </w:rPr>
              <w:t>LaBSE</w:t>
            </w:r>
          </w:p>
        </w:tc>
        <w:tc>
          <w:tcPr>
            <w:tcW w:type="dxa" w:w="1440"/>
            <w:vAlign w:val="center"/>
          </w:tcPr>
          <w:p>
            <w:pPr>
              <w:jc w:val="center"/>
            </w:pPr>
            <w:r/>
            <w:r>
              <w:rPr>
                <w:b w:val="0"/>
                <w:sz w:val="16"/>
              </w:rPr>
              <w:t>hi&lt;-&gt;en</w:t>
            </w:r>
          </w:p>
        </w:tc>
        <w:tc>
          <w:tcPr>
            <w:tcW w:type="dxa" w:w="1440"/>
            <w:vAlign w:val="center"/>
          </w:tcPr>
          <w:p>
            <w:pPr>
              <w:jc w:val="center"/>
            </w:pPr>
            <w:r/>
            <w:r>
              <w:rPr>
                <w:b w:val="0"/>
                <w:sz w:val="16"/>
              </w:rPr>
              <w:t>0.7991</w:t>
            </w:r>
          </w:p>
        </w:tc>
        <w:tc>
          <w:tcPr>
            <w:tcW w:type="dxa" w:w="1584"/>
            <w:vAlign w:val="center"/>
          </w:tcPr>
          <w:p>
            <w:pPr>
              <w:jc w:val="center"/>
            </w:pPr>
            <w:r/>
            <w:r>
              <w:rPr>
                <w:b w:val="0"/>
                <w:sz w:val="16"/>
              </w:rPr>
              <w:t>68.2%</w:t>
            </w:r>
          </w:p>
        </w:tc>
        <w:tc>
          <w:tcPr>
            <w:tcW w:type="dxa" w:w="1584"/>
            <w:vAlign w:val="center"/>
          </w:tcPr>
          <w:p>
            <w:pPr>
              <w:jc w:val="center"/>
            </w:pPr>
            <w:r/>
            <w:r>
              <w:rPr>
                <w:b w:val="0"/>
                <w:sz w:val="16"/>
              </w:rPr>
              <w:t>95.4%</w:t>
            </w:r>
          </w:p>
        </w:tc>
      </w:tr>
      <w:tr>
        <w:tc>
          <w:tcPr>
            <w:tcW w:type="dxa" w:w="2088"/>
            <w:vAlign w:val="center"/>
          </w:tcPr>
          <w:p>
            <w:pPr>
              <w:jc w:val="center"/>
            </w:pPr>
            <w:r/>
            <w:r>
              <w:rPr>
                <w:b w:val="0"/>
                <w:sz w:val="16"/>
              </w:rPr>
              <w:t>IndicBERT v2</w:t>
            </w:r>
          </w:p>
        </w:tc>
        <w:tc>
          <w:tcPr>
            <w:tcW w:type="dxa" w:w="1440"/>
            <w:vAlign w:val="center"/>
          </w:tcPr>
          <w:p>
            <w:pPr>
              <w:jc w:val="center"/>
            </w:pPr>
            <w:r/>
            <w:r>
              <w:rPr>
                <w:b w:val="0"/>
                <w:sz w:val="16"/>
              </w:rPr>
              <w:t>hi&lt;-&gt;en</w:t>
            </w:r>
          </w:p>
        </w:tc>
        <w:tc>
          <w:tcPr>
            <w:tcW w:type="dxa" w:w="1440"/>
            <w:vAlign w:val="center"/>
          </w:tcPr>
          <w:p>
            <w:pPr>
              <w:jc w:val="center"/>
            </w:pPr>
            <w:r/>
            <w:r>
              <w:rPr>
                <w:b w:val="0"/>
                <w:sz w:val="16"/>
              </w:rPr>
              <w:t>0.7995</w:t>
            </w:r>
          </w:p>
        </w:tc>
        <w:tc>
          <w:tcPr>
            <w:tcW w:type="dxa" w:w="1584"/>
            <w:vAlign w:val="center"/>
          </w:tcPr>
          <w:p>
            <w:pPr>
              <w:jc w:val="center"/>
            </w:pPr>
            <w:r/>
            <w:r>
              <w:rPr>
                <w:b w:val="0"/>
                <w:sz w:val="16"/>
              </w:rPr>
              <w:t>59.4%</w:t>
            </w:r>
          </w:p>
        </w:tc>
        <w:tc>
          <w:tcPr>
            <w:tcW w:type="dxa" w:w="1584"/>
            <w:vAlign w:val="center"/>
          </w:tcPr>
          <w:p>
            <w:pPr>
              <w:jc w:val="center"/>
            </w:pPr>
            <w:r/>
            <w:r>
              <w:rPr>
                <w:b w:val="0"/>
                <w:sz w:val="16"/>
              </w:rPr>
              <w:t>99.6%</w:t>
            </w:r>
          </w:p>
        </w:tc>
      </w:tr>
      <w:tr>
        <w:tc>
          <w:tcPr>
            <w:tcW w:type="dxa" w:w="2088"/>
            <w:vAlign w:val="center"/>
          </w:tcPr>
          <w:p>
            <w:pPr>
              <w:jc w:val="center"/>
            </w:pPr>
            <w:r/>
            <w:r>
              <w:rPr>
                <w:b w:val="0"/>
                <w:sz w:val="16"/>
              </w:rPr>
              <w:t>IndicSBERT</w:t>
            </w:r>
          </w:p>
        </w:tc>
        <w:tc>
          <w:tcPr>
            <w:tcW w:type="dxa" w:w="1440"/>
            <w:vAlign w:val="center"/>
          </w:tcPr>
          <w:p>
            <w:pPr>
              <w:jc w:val="center"/>
            </w:pPr>
            <w:r/>
            <w:r>
              <w:rPr>
                <w:b w:val="0"/>
                <w:sz w:val="16"/>
              </w:rPr>
              <w:t>hi&lt;-&gt;en</w:t>
            </w:r>
          </w:p>
        </w:tc>
        <w:tc>
          <w:tcPr>
            <w:tcW w:type="dxa" w:w="1440"/>
            <w:vAlign w:val="center"/>
          </w:tcPr>
          <w:p>
            <w:pPr>
              <w:jc w:val="center"/>
            </w:pPr>
            <w:r/>
            <w:r>
              <w:rPr>
                <w:b w:val="0"/>
                <w:sz w:val="16"/>
              </w:rPr>
              <w:t>0.7517</w:t>
            </w:r>
          </w:p>
        </w:tc>
        <w:tc>
          <w:tcPr>
            <w:tcW w:type="dxa" w:w="1584"/>
            <w:vAlign w:val="center"/>
          </w:tcPr>
          <w:p>
            <w:pPr>
              <w:jc w:val="center"/>
            </w:pPr>
            <w:r/>
            <w:r>
              <w:rPr>
                <w:b w:val="0"/>
                <w:sz w:val="16"/>
              </w:rPr>
              <w:t>44.8%</w:t>
            </w:r>
          </w:p>
        </w:tc>
        <w:tc>
          <w:tcPr>
            <w:tcW w:type="dxa" w:w="1584"/>
            <w:vAlign w:val="center"/>
          </w:tcPr>
          <w:p>
            <w:pPr>
              <w:jc w:val="center"/>
            </w:pPr>
            <w:r/>
            <w:r>
              <w:rPr>
                <w:b w:val="0"/>
                <w:sz w:val="16"/>
              </w:rPr>
              <w:t>87.0%</w:t>
            </w:r>
          </w:p>
        </w:tc>
      </w:tr>
      <w:tr>
        <w:tc>
          <w:tcPr>
            <w:tcW w:type="dxa" w:w="2088"/>
            <w:vAlign w:val="center"/>
          </w:tcPr>
          <w:p>
            <w:pPr>
              <w:jc w:val="center"/>
            </w:pPr>
            <w:r/>
            <w:r>
              <w:rPr>
                <w:b w:val="0"/>
                <w:sz w:val="16"/>
              </w:rPr>
              <w:t>Vyakyarth</w:t>
            </w:r>
          </w:p>
        </w:tc>
        <w:tc>
          <w:tcPr>
            <w:tcW w:type="dxa" w:w="1440"/>
            <w:vAlign w:val="center"/>
          </w:tcPr>
          <w:p>
            <w:pPr>
              <w:jc w:val="center"/>
            </w:pPr>
            <w:r/>
            <w:r>
              <w:rPr>
                <w:b w:val="0"/>
                <w:sz w:val="16"/>
              </w:rPr>
              <w:t>hi&lt;-&gt;en</w:t>
            </w:r>
          </w:p>
        </w:tc>
        <w:tc>
          <w:tcPr>
            <w:tcW w:type="dxa" w:w="1440"/>
            <w:vAlign w:val="center"/>
          </w:tcPr>
          <w:p>
            <w:pPr>
              <w:jc w:val="center"/>
            </w:pPr>
            <w:r/>
            <w:r>
              <w:rPr>
                <w:b w:val="0"/>
                <w:sz w:val="16"/>
              </w:rPr>
              <w:t>0.7974</w:t>
            </w:r>
          </w:p>
        </w:tc>
        <w:tc>
          <w:tcPr>
            <w:tcW w:type="dxa" w:w="1584"/>
            <w:vAlign w:val="center"/>
          </w:tcPr>
          <w:p>
            <w:pPr>
              <w:jc w:val="center"/>
            </w:pPr>
            <w:r/>
            <w:r>
              <w:rPr>
                <w:b w:val="0"/>
                <w:sz w:val="16"/>
              </w:rPr>
              <w:t>61.2%</w:t>
            </w:r>
          </w:p>
        </w:tc>
        <w:tc>
          <w:tcPr>
            <w:tcW w:type="dxa" w:w="1584"/>
            <w:vAlign w:val="center"/>
          </w:tcPr>
          <w:p>
            <w:pPr>
              <w:jc w:val="center"/>
            </w:pPr>
            <w:r/>
            <w:r>
              <w:rPr>
                <w:b w:val="0"/>
                <w:sz w:val="16"/>
              </w:rPr>
              <w:t>92.4%</w:t>
            </w:r>
          </w:p>
        </w:tc>
      </w:tr>
      <w:tr>
        <w:tc>
          <w:tcPr>
            <w:tcW w:type="dxa" w:w="2088"/>
            <w:vAlign w:val="center"/>
          </w:tcPr>
          <w:p>
            <w:pPr>
              <w:jc w:val="center"/>
            </w:pPr>
            <w:r/>
            <w:r>
              <w:rPr>
                <w:b w:val="0"/>
                <w:sz w:val="16"/>
              </w:rPr>
              <w:t>LaBSE</w:t>
            </w:r>
          </w:p>
        </w:tc>
        <w:tc>
          <w:tcPr>
            <w:tcW w:type="dxa" w:w="1440"/>
            <w:vAlign w:val="center"/>
          </w:tcPr>
          <w:p>
            <w:pPr>
              <w:jc w:val="center"/>
            </w:pPr>
            <w:r/>
            <w:r>
              <w:rPr>
                <w:b w:val="0"/>
                <w:sz w:val="16"/>
              </w:rPr>
              <w:t>ta&lt;-&gt;en</w:t>
            </w:r>
          </w:p>
        </w:tc>
        <w:tc>
          <w:tcPr>
            <w:tcW w:type="dxa" w:w="1440"/>
            <w:vAlign w:val="center"/>
          </w:tcPr>
          <w:p>
            <w:pPr>
              <w:jc w:val="center"/>
            </w:pPr>
            <w:r/>
            <w:r>
              <w:rPr>
                <w:b w:val="0"/>
                <w:sz w:val="16"/>
              </w:rPr>
              <w:t>0.7708</w:t>
            </w:r>
          </w:p>
        </w:tc>
        <w:tc>
          <w:tcPr>
            <w:tcW w:type="dxa" w:w="1584"/>
            <w:vAlign w:val="center"/>
          </w:tcPr>
          <w:p>
            <w:pPr>
              <w:jc w:val="center"/>
            </w:pPr>
            <w:r/>
            <w:r>
              <w:rPr>
                <w:b w:val="0"/>
                <w:sz w:val="16"/>
              </w:rPr>
              <w:t>69.4%</w:t>
            </w:r>
          </w:p>
        </w:tc>
        <w:tc>
          <w:tcPr>
            <w:tcW w:type="dxa" w:w="1584"/>
            <w:vAlign w:val="center"/>
          </w:tcPr>
          <w:p>
            <w:pPr>
              <w:jc w:val="center"/>
            </w:pPr>
            <w:r/>
            <w:r>
              <w:rPr>
                <w:b w:val="0"/>
                <w:sz w:val="16"/>
              </w:rPr>
              <w:t>89.8%</w:t>
            </w:r>
          </w:p>
        </w:tc>
      </w:tr>
      <w:tr>
        <w:tc>
          <w:tcPr>
            <w:tcW w:type="dxa" w:w="2088"/>
            <w:vAlign w:val="center"/>
          </w:tcPr>
          <w:p>
            <w:pPr>
              <w:jc w:val="center"/>
            </w:pPr>
            <w:r/>
            <w:r>
              <w:rPr>
                <w:b w:val="0"/>
                <w:sz w:val="16"/>
              </w:rPr>
              <w:t>IndicBERT v2</w:t>
            </w:r>
          </w:p>
        </w:tc>
        <w:tc>
          <w:tcPr>
            <w:tcW w:type="dxa" w:w="1440"/>
            <w:vAlign w:val="center"/>
          </w:tcPr>
          <w:p>
            <w:pPr>
              <w:jc w:val="center"/>
            </w:pPr>
            <w:r/>
            <w:r>
              <w:rPr>
                <w:b w:val="0"/>
                <w:sz w:val="16"/>
              </w:rPr>
              <w:t>ta&lt;-&gt;en</w:t>
            </w:r>
          </w:p>
        </w:tc>
        <w:tc>
          <w:tcPr>
            <w:tcW w:type="dxa" w:w="1440"/>
            <w:vAlign w:val="center"/>
          </w:tcPr>
          <w:p>
            <w:pPr>
              <w:jc w:val="center"/>
            </w:pPr>
            <w:r/>
            <w:r>
              <w:rPr>
                <w:b w:val="0"/>
                <w:sz w:val="16"/>
              </w:rPr>
              <w:t>0.7512</w:t>
            </w:r>
          </w:p>
        </w:tc>
        <w:tc>
          <w:tcPr>
            <w:tcW w:type="dxa" w:w="1584"/>
            <w:vAlign w:val="center"/>
          </w:tcPr>
          <w:p>
            <w:pPr>
              <w:jc w:val="center"/>
            </w:pPr>
            <w:r/>
            <w:r>
              <w:rPr>
                <w:b w:val="0"/>
                <w:sz w:val="16"/>
              </w:rPr>
              <w:t>22.6%</w:t>
            </w:r>
          </w:p>
        </w:tc>
        <w:tc>
          <w:tcPr>
            <w:tcW w:type="dxa" w:w="1584"/>
            <w:vAlign w:val="center"/>
          </w:tcPr>
          <w:p>
            <w:pPr>
              <w:jc w:val="center"/>
            </w:pPr>
            <w:r/>
            <w:r>
              <w:rPr>
                <w:b w:val="0"/>
                <w:sz w:val="16"/>
              </w:rPr>
              <w:t>97.8%</w:t>
            </w:r>
          </w:p>
        </w:tc>
      </w:tr>
      <w:tr>
        <w:tc>
          <w:tcPr>
            <w:tcW w:type="dxa" w:w="2088"/>
            <w:vAlign w:val="center"/>
          </w:tcPr>
          <w:p>
            <w:pPr>
              <w:jc w:val="center"/>
            </w:pPr>
            <w:r/>
            <w:r>
              <w:rPr>
                <w:b w:val="0"/>
                <w:sz w:val="16"/>
              </w:rPr>
              <w:t>IndicSBERT</w:t>
            </w:r>
          </w:p>
        </w:tc>
        <w:tc>
          <w:tcPr>
            <w:tcW w:type="dxa" w:w="1440"/>
            <w:vAlign w:val="center"/>
          </w:tcPr>
          <w:p>
            <w:pPr>
              <w:jc w:val="center"/>
            </w:pPr>
            <w:r/>
            <w:r>
              <w:rPr>
                <w:b w:val="0"/>
                <w:sz w:val="16"/>
              </w:rPr>
              <w:t>ta&lt;-&gt;en</w:t>
            </w:r>
          </w:p>
        </w:tc>
        <w:tc>
          <w:tcPr>
            <w:tcW w:type="dxa" w:w="1440"/>
            <w:vAlign w:val="center"/>
          </w:tcPr>
          <w:p>
            <w:pPr>
              <w:jc w:val="center"/>
            </w:pPr>
            <w:r/>
            <w:r>
              <w:rPr>
                <w:b w:val="0"/>
                <w:sz w:val="16"/>
              </w:rPr>
              <w:t>0.7016</w:t>
            </w:r>
          </w:p>
        </w:tc>
        <w:tc>
          <w:tcPr>
            <w:tcW w:type="dxa" w:w="1584"/>
            <w:vAlign w:val="center"/>
          </w:tcPr>
          <w:p>
            <w:pPr>
              <w:jc w:val="center"/>
            </w:pPr>
            <w:r/>
            <w:r>
              <w:rPr>
                <w:b w:val="0"/>
                <w:sz w:val="16"/>
              </w:rPr>
              <w:t>32.6%</w:t>
            </w:r>
          </w:p>
        </w:tc>
        <w:tc>
          <w:tcPr>
            <w:tcW w:type="dxa" w:w="1584"/>
            <w:vAlign w:val="center"/>
          </w:tcPr>
          <w:p>
            <w:pPr>
              <w:jc w:val="center"/>
            </w:pPr>
            <w:r/>
            <w:r>
              <w:rPr>
                <w:b w:val="0"/>
                <w:sz w:val="16"/>
              </w:rPr>
              <w:t>79.2%</w:t>
            </w:r>
          </w:p>
        </w:tc>
      </w:tr>
      <w:tr>
        <w:tc>
          <w:tcPr>
            <w:tcW w:type="dxa" w:w="2088"/>
            <w:vAlign w:val="center"/>
          </w:tcPr>
          <w:p>
            <w:pPr>
              <w:jc w:val="center"/>
            </w:pPr>
            <w:r/>
            <w:r>
              <w:rPr>
                <w:b w:val="0"/>
                <w:sz w:val="16"/>
              </w:rPr>
              <w:t>Vyakyarth</w:t>
            </w:r>
          </w:p>
        </w:tc>
        <w:tc>
          <w:tcPr>
            <w:tcW w:type="dxa" w:w="1440"/>
            <w:vAlign w:val="center"/>
          </w:tcPr>
          <w:p>
            <w:pPr>
              <w:jc w:val="center"/>
            </w:pPr>
            <w:r/>
            <w:r>
              <w:rPr>
                <w:b w:val="0"/>
                <w:sz w:val="16"/>
              </w:rPr>
              <w:t>ta&lt;-&gt;en</w:t>
            </w:r>
          </w:p>
        </w:tc>
        <w:tc>
          <w:tcPr>
            <w:tcW w:type="dxa" w:w="1440"/>
            <w:vAlign w:val="center"/>
          </w:tcPr>
          <w:p>
            <w:pPr>
              <w:jc w:val="center"/>
            </w:pPr>
            <w:r/>
            <w:r>
              <w:rPr>
                <w:b w:val="0"/>
                <w:sz w:val="16"/>
              </w:rPr>
              <w:t>0.7063</w:t>
            </w:r>
          </w:p>
        </w:tc>
        <w:tc>
          <w:tcPr>
            <w:tcW w:type="dxa" w:w="1584"/>
            <w:vAlign w:val="center"/>
          </w:tcPr>
          <w:p>
            <w:pPr>
              <w:jc w:val="center"/>
            </w:pPr>
            <w:r/>
            <w:r>
              <w:rPr>
                <w:b w:val="0"/>
                <w:sz w:val="16"/>
              </w:rPr>
              <w:t>33.6%</w:t>
            </w:r>
          </w:p>
        </w:tc>
        <w:tc>
          <w:tcPr>
            <w:tcW w:type="dxa" w:w="1584"/>
            <w:vAlign w:val="center"/>
          </w:tcPr>
          <w:p>
            <w:pPr>
              <w:jc w:val="center"/>
            </w:pPr>
            <w:r/>
            <w:r>
              <w:rPr>
                <w:b w:val="0"/>
                <w:sz w:val="16"/>
              </w:rPr>
              <w:t>80.0%</w:t>
            </w:r>
          </w:p>
        </w:tc>
      </w:tr>
    </w:tbl>
    <w:p>
      <w:r>
        <w:rPr>
          <w:b/>
        </w:rPr>
        <w:t xml:space="preserve">Interpretation. </w:t>
      </w:r>
      <w:r>
        <w:t>LaBSE showing around 68-69% for pairs above 0.80 does not mean LaBSE failed retrieval. It only means roughly that fraction of gold pairs crossed a strict absolute threshold. A pair with cosine 0.75 fails the &gt;0.80 test, even if it is still the closest candidate among thousands of alternatives.</w:t>
      </w:r>
    </w:p>
    <w:p>
      <w:pPr>
        <w:pStyle w:val="Heading1"/>
      </w:pPr>
      <w:r>
        <w:t>3. Samanantar Translation Retrieval Benchmark</w:t>
      </w:r>
    </w:p>
    <w:p>
      <w:r>
        <w:rPr>
          <w:b/>
        </w:rPr>
        <w:t xml:space="preserve">Method. </w:t>
      </w:r>
      <w:r>
        <w:t>The retrieval benchmark uses the same general parallel-text idea, but evaluates ranking. For a source sentence, the model compares it against all target-language candidates in the sampled set. If the correct translation is ranked first, it counts as an Accuracy@1 success. This setup therefore tests whether the embedding space is useful for translation retrieval, not just whether gold pairs have high absolute cosine scores.</w:t>
      </w:r>
    </w:p>
    <w:tbl>
      <w:tblPr>
        <w:tblStyle w:val="TableGrid"/>
        <w:tblW w:type="auto" w:w="0"/>
        <w:jc w:val="center"/>
        <w:tblLook w:firstColumn="1" w:firstRow="1" w:lastColumn="0" w:lastRow="0" w:noHBand="0" w:noVBand="1" w:val="04A0"/>
      </w:tblPr>
      <w:tblGrid>
        <w:gridCol w:w="3050"/>
        <w:gridCol w:w="3050"/>
        <w:gridCol w:w="3050"/>
        <w:gridCol w:w="3050"/>
        <w:gridCol w:w="3050"/>
      </w:tblGrid>
      <w:tr>
        <w:tc>
          <w:tcPr>
            <w:tcW w:type="dxa" w:w="2592"/>
            <w:vAlign w:val="center"/>
            <w:shd w:fill="1F4E79"/>
          </w:tcPr>
          <w:p>
            <w:pPr>
              <w:jc w:val="center"/>
            </w:pPr>
            <w:r/>
            <w:r>
              <w:rPr>
                <w:b/>
                <w:color w:val="FFFFFF"/>
                <w:sz w:val="16"/>
              </w:rPr>
              <w:t>Model</w:t>
            </w:r>
          </w:p>
        </w:tc>
        <w:tc>
          <w:tcPr>
            <w:tcW w:type="dxa" w:w="1728"/>
            <w:vAlign w:val="center"/>
            <w:shd w:fill="1F4E79"/>
          </w:tcPr>
          <w:p>
            <w:pPr>
              <w:jc w:val="center"/>
            </w:pPr>
            <w:r/>
            <w:r>
              <w:rPr>
                <w:b/>
                <w:color w:val="FFFFFF"/>
                <w:sz w:val="16"/>
              </w:rPr>
              <w:t>Avg Accuracy@1</w:t>
            </w:r>
          </w:p>
        </w:tc>
        <w:tc>
          <w:tcPr>
            <w:tcW w:type="dxa" w:w="1728"/>
            <w:vAlign w:val="center"/>
            <w:shd w:fill="1F4E79"/>
          </w:tcPr>
          <w:p>
            <w:pPr>
              <w:jc w:val="center"/>
            </w:pPr>
            <w:r/>
            <w:r>
              <w:rPr>
                <w:b/>
                <w:color w:val="FFFFFF"/>
                <w:sz w:val="16"/>
              </w:rPr>
              <w:t>Avg Recall@10</w:t>
            </w:r>
          </w:p>
        </w:tc>
        <w:tc>
          <w:tcPr>
            <w:tcW w:type="dxa" w:w="1584"/>
            <w:vAlign w:val="center"/>
            <w:shd w:fill="1F4E79"/>
          </w:tcPr>
          <w:p>
            <w:pPr>
              <w:jc w:val="center"/>
            </w:pPr>
            <w:r/>
            <w:r>
              <w:rPr>
                <w:b/>
                <w:color w:val="FFFFFF"/>
                <w:sz w:val="16"/>
              </w:rPr>
              <w:t>Avg MRR</w:t>
            </w:r>
          </w:p>
        </w:tc>
        <w:tc>
          <w:tcPr>
            <w:tcW w:type="dxa" w:w="1728"/>
            <w:vAlign w:val="center"/>
            <w:shd w:fill="1F4E79"/>
          </w:tcPr>
          <w:p>
            <w:pPr>
              <w:jc w:val="center"/>
            </w:pPr>
            <w:r/>
            <w:r>
              <w:rPr>
                <w:b/>
                <w:color w:val="FFFFFF"/>
                <w:sz w:val="16"/>
              </w:rPr>
              <w:t>Avg cosine gap</w:t>
            </w:r>
          </w:p>
        </w:tc>
      </w:tr>
      <w:tr>
        <w:tc>
          <w:tcPr>
            <w:tcW w:type="dxa" w:w="2592"/>
            <w:vAlign w:val="center"/>
          </w:tcPr>
          <w:p>
            <w:pPr>
              <w:jc w:val="center"/>
            </w:pPr>
            <w:r/>
            <w:r>
              <w:rPr>
                <w:b w:val="0"/>
                <w:sz w:val="16"/>
              </w:rPr>
              <w:t>LaBSE</w:t>
            </w:r>
          </w:p>
        </w:tc>
        <w:tc>
          <w:tcPr>
            <w:tcW w:type="dxa" w:w="1728"/>
            <w:vAlign w:val="center"/>
          </w:tcPr>
          <w:p>
            <w:pPr>
              <w:jc w:val="center"/>
            </w:pPr>
            <w:r/>
            <w:r>
              <w:rPr>
                <w:b w:val="0"/>
                <w:sz w:val="16"/>
              </w:rPr>
              <w:t>0.9308</w:t>
            </w:r>
          </w:p>
        </w:tc>
        <w:tc>
          <w:tcPr>
            <w:tcW w:type="dxa" w:w="1728"/>
            <w:vAlign w:val="center"/>
          </w:tcPr>
          <w:p>
            <w:pPr>
              <w:jc w:val="center"/>
            </w:pPr>
            <w:r/>
            <w:r>
              <w:rPr>
                <w:b w:val="0"/>
                <w:sz w:val="16"/>
              </w:rPr>
              <w:t>0.9517</w:t>
            </w:r>
          </w:p>
        </w:tc>
        <w:tc>
          <w:tcPr>
            <w:tcW w:type="dxa" w:w="1584"/>
            <w:vAlign w:val="center"/>
          </w:tcPr>
          <w:p>
            <w:pPr>
              <w:jc w:val="center"/>
            </w:pPr>
            <w:r/>
            <w:r>
              <w:rPr>
                <w:b w:val="0"/>
                <w:sz w:val="16"/>
              </w:rPr>
              <w:t>0.9392</w:t>
            </w:r>
          </w:p>
        </w:tc>
        <w:tc>
          <w:tcPr>
            <w:tcW w:type="dxa" w:w="1728"/>
            <w:vAlign w:val="center"/>
          </w:tcPr>
          <w:p>
            <w:pPr>
              <w:jc w:val="center"/>
            </w:pPr>
            <w:r/>
            <w:r>
              <w:rPr>
                <w:b w:val="0"/>
                <w:sz w:val="16"/>
              </w:rPr>
              <w:t>0.5918</w:t>
            </w:r>
          </w:p>
        </w:tc>
      </w:tr>
      <w:tr>
        <w:tc>
          <w:tcPr>
            <w:tcW w:type="dxa" w:w="2592"/>
            <w:vAlign w:val="center"/>
          </w:tcPr>
          <w:p>
            <w:pPr>
              <w:jc w:val="left"/>
            </w:pPr>
            <w:r/>
            <w:r>
              <w:rPr>
                <w:b w:val="0"/>
                <w:sz w:val="16"/>
              </w:rPr>
              <w:t>Multilingual MPNet</w:t>
            </w:r>
          </w:p>
        </w:tc>
        <w:tc>
          <w:tcPr>
            <w:tcW w:type="dxa" w:w="1728"/>
            <w:vAlign w:val="center"/>
          </w:tcPr>
          <w:p>
            <w:pPr>
              <w:jc w:val="center"/>
            </w:pPr>
            <w:r/>
            <w:r>
              <w:rPr>
                <w:b w:val="0"/>
                <w:sz w:val="16"/>
              </w:rPr>
              <w:t>0.6555</w:t>
            </w:r>
          </w:p>
        </w:tc>
        <w:tc>
          <w:tcPr>
            <w:tcW w:type="dxa" w:w="1728"/>
            <w:vAlign w:val="center"/>
          </w:tcPr>
          <w:p>
            <w:pPr>
              <w:jc w:val="center"/>
            </w:pPr>
            <w:r/>
            <w:r>
              <w:rPr>
                <w:b w:val="0"/>
                <w:sz w:val="16"/>
              </w:rPr>
              <w:t>0.8295</w:t>
            </w:r>
          </w:p>
        </w:tc>
        <w:tc>
          <w:tcPr>
            <w:tcW w:type="dxa" w:w="1584"/>
            <w:vAlign w:val="center"/>
          </w:tcPr>
          <w:p>
            <w:pPr>
              <w:jc w:val="center"/>
            </w:pPr>
            <w:r/>
            <w:r>
              <w:rPr>
                <w:b w:val="0"/>
                <w:sz w:val="16"/>
              </w:rPr>
              <w:t>0.7180</w:t>
            </w:r>
          </w:p>
        </w:tc>
        <w:tc>
          <w:tcPr>
            <w:tcW w:type="dxa" w:w="1728"/>
            <w:vAlign w:val="center"/>
          </w:tcPr>
          <w:p>
            <w:pPr>
              <w:jc w:val="center"/>
            </w:pPr>
            <w:r/>
            <w:r>
              <w:rPr>
                <w:b w:val="0"/>
                <w:sz w:val="16"/>
              </w:rPr>
              <w:t>0.5296</w:t>
            </w:r>
          </w:p>
        </w:tc>
      </w:tr>
      <w:tr>
        <w:tc>
          <w:tcPr>
            <w:tcW w:type="dxa" w:w="2592"/>
            <w:vAlign w:val="center"/>
          </w:tcPr>
          <w:p>
            <w:pPr>
              <w:jc w:val="center"/>
            </w:pPr>
            <w:r/>
            <w:r>
              <w:rPr>
                <w:b w:val="0"/>
                <w:sz w:val="16"/>
              </w:rPr>
              <w:t>MuRIL</w:t>
            </w:r>
          </w:p>
        </w:tc>
        <w:tc>
          <w:tcPr>
            <w:tcW w:type="dxa" w:w="1728"/>
            <w:vAlign w:val="center"/>
          </w:tcPr>
          <w:p>
            <w:pPr>
              <w:jc w:val="center"/>
            </w:pPr>
            <w:r/>
            <w:r>
              <w:rPr>
                <w:b w:val="0"/>
                <w:sz w:val="16"/>
              </w:rPr>
              <w:t>0.4985</w:t>
            </w:r>
          </w:p>
        </w:tc>
        <w:tc>
          <w:tcPr>
            <w:tcW w:type="dxa" w:w="1728"/>
            <w:vAlign w:val="center"/>
          </w:tcPr>
          <w:p>
            <w:pPr>
              <w:jc w:val="center"/>
            </w:pPr>
            <w:r/>
            <w:r>
              <w:rPr>
                <w:b w:val="0"/>
                <w:sz w:val="16"/>
              </w:rPr>
              <w:t>0.7224</w:t>
            </w:r>
          </w:p>
        </w:tc>
        <w:tc>
          <w:tcPr>
            <w:tcW w:type="dxa" w:w="1584"/>
            <w:vAlign w:val="center"/>
          </w:tcPr>
          <w:p>
            <w:pPr>
              <w:jc w:val="center"/>
            </w:pPr>
            <w:r/>
            <w:r>
              <w:rPr>
                <w:b w:val="0"/>
                <w:sz w:val="16"/>
              </w:rPr>
              <w:t>0.5774</w:t>
            </w:r>
          </w:p>
        </w:tc>
        <w:tc>
          <w:tcPr>
            <w:tcW w:type="dxa" w:w="1728"/>
            <w:vAlign w:val="center"/>
          </w:tcPr>
          <w:p>
            <w:pPr>
              <w:jc w:val="center"/>
            </w:pPr>
            <w:r/>
            <w:r>
              <w:rPr>
                <w:b w:val="0"/>
                <w:sz w:val="16"/>
              </w:rPr>
              <w:t>0.0037</w:t>
            </w:r>
          </w:p>
        </w:tc>
      </w:tr>
      <w:tr>
        <w:tc>
          <w:tcPr>
            <w:tcW w:type="dxa" w:w="2592"/>
            <w:vAlign w:val="center"/>
          </w:tcPr>
          <w:p>
            <w:pPr>
              <w:jc w:val="left"/>
            </w:pPr>
            <w:r/>
            <w:r>
              <w:rPr>
                <w:b w:val="0"/>
                <w:sz w:val="16"/>
              </w:rPr>
              <w:t>SBERT Multilingual MiniLM</w:t>
            </w:r>
          </w:p>
        </w:tc>
        <w:tc>
          <w:tcPr>
            <w:tcW w:type="dxa" w:w="1728"/>
            <w:vAlign w:val="center"/>
          </w:tcPr>
          <w:p>
            <w:pPr>
              <w:jc w:val="center"/>
            </w:pPr>
            <w:r/>
            <w:r>
              <w:rPr>
                <w:b w:val="0"/>
                <w:sz w:val="16"/>
              </w:rPr>
              <w:t>0.3200</w:t>
            </w:r>
          </w:p>
        </w:tc>
        <w:tc>
          <w:tcPr>
            <w:tcW w:type="dxa" w:w="1728"/>
            <w:vAlign w:val="center"/>
          </w:tcPr>
          <w:p>
            <w:pPr>
              <w:jc w:val="center"/>
            </w:pPr>
            <w:r/>
            <w:r>
              <w:rPr>
                <w:b w:val="0"/>
                <w:sz w:val="16"/>
              </w:rPr>
              <w:t>0.4820</w:t>
            </w:r>
          </w:p>
        </w:tc>
        <w:tc>
          <w:tcPr>
            <w:tcW w:type="dxa" w:w="1584"/>
            <w:vAlign w:val="center"/>
          </w:tcPr>
          <w:p>
            <w:pPr>
              <w:jc w:val="center"/>
            </w:pPr>
            <w:r/>
            <w:r>
              <w:rPr>
                <w:b w:val="0"/>
                <w:sz w:val="16"/>
              </w:rPr>
              <w:t>0.3771</w:t>
            </w:r>
          </w:p>
        </w:tc>
        <w:tc>
          <w:tcPr>
            <w:tcW w:type="dxa" w:w="1728"/>
            <w:vAlign w:val="center"/>
          </w:tcPr>
          <w:p>
            <w:pPr>
              <w:jc w:val="center"/>
            </w:pPr>
            <w:r/>
            <w:r>
              <w:rPr>
                <w:b w:val="0"/>
                <w:sz w:val="16"/>
              </w:rPr>
              <w:t>0.3132</w:t>
            </w:r>
          </w:p>
        </w:tc>
      </w:tr>
      <w:tr>
        <w:tc>
          <w:tcPr>
            <w:tcW w:type="dxa" w:w="2592"/>
            <w:vAlign w:val="center"/>
          </w:tcPr>
          <w:p>
            <w:pPr>
              <w:jc w:val="center"/>
            </w:pPr>
            <w:r/>
            <w:r>
              <w:rPr>
                <w:b w:val="0"/>
                <w:sz w:val="16"/>
              </w:rPr>
              <w:t>mContriever</w:t>
            </w:r>
          </w:p>
        </w:tc>
        <w:tc>
          <w:tcPr>
            <w:tcW w:type="dxa" w:w="1728"/>
            <w:vAlign w:val="center"/>
          </w:tcPr>
          <w:p>
            <w:pPr>
              <w:jc w:val="center"/>
            </w:pPr>
            <w:r/>
            <w:r>
              <w:rPr>
                <w:b w:val="0"/>
                <w:sz w:val="16"/>
              </w:rPr>
              <w:t>0.2107</w:t>
            </w:r>
          </w:p>
        </w:tc>
        <w:tc>
          <w:tcPr>
            <w:tcW w:type="dxa" w:w="1728"/>
            <w:vAlign w:val="center"/>
          </w:tcPr>
          <w:p>
            <w:pPr>
              <w:jc w:val="center"/>
            </w:pPr>
            <w:r/>
            <w:r>
              <w:rPr>
                <w:b w:val="0"/>
                <w:sz w:val="16"/>
              </w:rPr>
              <w:t>0.4049</w:t>
            </w:r>
          </w:p>
        </w:tc>
        <w:tc>
          <w:tcPr>
            <w:tcW w:type="dxa" w:w="1584"/>
            <w:vAlign w:val="center"/>
          </w:tcPr>
          <w:p>
            <w:pPr>
              <w:jc w:val="center"/>
            </w:pPr>
            <w:r/>
            <w:r>
              <w:rPr>
                <w:b w:val="0"/>
                <w:sz w:val="16"/>
              </w:rPr>
              <w:t>0.2775</w:t>
            </w:r>
          </w:p>
        </w:tc>
        <w:tc>
          <w:tcPr>
            <w:tcW w:type="dxa" w:w="1728"/>
            <w:vAlign w:val="center"/>
          </w:tcPr>
          <w:p>
            <w:pPr>
              <w:jc w:val="center"/>
            </w:pPr>
            <w:r/>
            <w:r>
              <w:rPr>
                <w:b w:val="0"/>
                <w:sz w:val="16"/>
              </w:rPr>
              <w:t>0.0949</w:t>
            </w:r>
          </w:p>
        </w:tc>
      </w:tr>
      <w:tr>
        <w:tc>
          <w:tcPr>
            <w:tcW w:type="dxa" w:w="2592"/>
            <w:vAlign w:val="center"/>
          </w:tcPr>
          <w:p>
            <w:pPr>
              <w:jc w:val="center"/>
            </w:pPr>
            <w:r/>
            <w:r>
              <w:rPr>
                <w:b w:val="0"/>
                <w:sz w:val="16"/>
              </w:rPr>
              <w:t>IndicBERTv2-SS</w:t>
            </w:r>
          </w:p>
        </w:tc>
        <w:tc>
          <w:tcPr>
            <w:tcW w:type="dxa" w:w="1728"/>
            <w:vAlign w:val="center"/>
          </w:tcPr>
          <w:p>
            <w:pPr>
              <w:jc w:val="center"/>
            </w:pPr>
            <w:r/>
            <w:r>
              <w:rPr>
                <w:b w:val="0"/>
                <w:sz w:val="16"/>
              </w:rPr>
              <w:t>0.1122</w:t>
            </w:r>
          </w:p>
        </w:tc>
        <w:tc>
          <w:tcPr>
            <w:tcW w:type="dxa" w:w="1728"/>
            <w:vAlign w:val="center"/>
          </w:tcPr>
          <w:p>
            <w:pPr>
              <w:jc w:val="center"/>
            </w:pPr>
            <w:r/>
            <w:r>
              <w:rPr>
                <w:b w:val="0"/>
                <w:sz w:val="16"/>
              </w:rPr>
              <w:t>0.1580</w:t>
            </w:r>
          </w:p>
        </w:tc>
        <w:tc>
          <w:tcPr>
            <w:tcW w:type="dxa" w:w="1584"/>
            <w:vAlign w:val="center"/>
          </w:tcPr>
          <w:p>
            <w:pPr>
              <w:jc w:val="center"/>
            </w:pPr>
            <w:r/>
            <w:r>
              <w:rPr>
                <w:b w:val="0"/>
                <w:sz w:val="16"/>
              </w:rPr>
              <w:t>0.1305</w:t>
            </w:r>
          </w:p>
        </w:tc>
        <w:tc>
          <w:tcPr>
            <w:tcW w:type="dxa" w:w="1728"/>
            <w:vAlign w:val="center"/>
          </w:tcPr>
          <w:p>
            <w:pPr>
              <w:jc w:val="center"/>
            </w:pPr>
            <w:r/>
            <w:r>
              <w:rPr>
                <w:b w:val="0"/>
                <w:sz w:val="16"/>
              </w:rPr>
              <w:t>0.0319</w:t>
            </w:r>
          </w:p>
        </w:tc>
      </w:tr>
      <w:tr>
        <w:tc>
          <w:tcPr>
            <w:tcW w:type="dxa" w:w="2592"/>
            <w:vAlign w:val="center"/>
          </w:tcPr>
          <w:p>
            <w:pPr>
              <w:jc w:val="left"/>
            </w:pPr>
            <w:r/>
            <w:r>
              <w:rPr>
                <w:b w:val="0"/>
                <w:sz w:val="16"/>
              </w:rPr>
              <w:t>XLM-RoBERTa base</w:t>
            </w:r>
          </w:p>
        </w:tc>
        <w:tc>
          <w:tcPr>
            <w:tcW w:type="dxa" w:w="1728"/>
            <w:vAlign w:val="center"/>
          </w:tcPr>
          <w:p>
            <w:pPr>
              <w:jc w:val="center"/>
            </w:pPr>
            <w:r/>
            <w:r>
              <w:rPr>
                <w:b w:val="0"/>
                <w:sz w:val="16"/>
              </w:rPr>
              <w:t>0.0997</w:t>
            </w:r>
          </w:p>
        </w:tc>
        <w:tc>
          <w:tcPr>
            <w:tcW w:type="dxa" w:w="1728"/>
            <w:vAlign w:val="center"/>
          </w:tcPr>
          <w:p>
            <w:pPr>
              <w:jc w:val="center"/>
            </w:pPr>
            <w:r/>
            <w:r>
              <w:rPr>
                <w:b w:val="0"/>
                <w:sz w:val="16"/>
              </w:rPr>
              <w:t>0.2448</w:t>
            </w:r>
          </w:p>
        </w:tc>
        <w:tc>
          <w:tcPr>
            <w:tcW w:type="dxa" w:w="1584"/>
            <w:vAlign w:val="center"/>
          </w:tcPr>
          <w:p>
            <w:pPr>
              <w:jc w:val="center"/>
            </w:pPr>
            <w:r/>
            <w:r>
              <w:rPr>
                <w:b w:val="0"/>
                <w:sz w:val="16"/>
              </w:rPr>
              <w:t>0.1505</w:t>
            </w:r>
          </w:p>
        </w:tc>
        <w:tc>
          <w:tcPr>
            <w:tcW w:type="dxa" w:w="1728"/>
            <w:vAlign w:val="center"/>
          </w:tcPr>
          <w:p>
            <w:pPr>
              <w:jc w:val="center"/>
            </w:pPr>
            <w:r/>
            <w:r>
              <w:rPr>
                <w:b w:val="0"/>
                <w:sz w:val="16"/>
              </w:rPr>
              <w:t>0.0040</w:t>
            </w:r>
          </w:p>
        </w:tc>
      </w:tr>
    </w:tbl>
    <w:p>
      <w:r>
        <w:rPr>
          <w:b/>
        </w:rPr>
        <w:t xml:space="preserve">Interpretation. </w:t>
      </w:r>
      <w:r>
        <w:t>LaBSE is clearly strongest under retrieval. This explains why a retrieval benchmark can report a value above 90% or even near-perfect in some language directions, while Nikunj's threshold benchmark reports fewer pairs above a strict 0.80 cosine threshold. They are measuring different properties.</w:t>
      </w:r>
    </w:p>
    <w:p>
      <w:r>
        <w:drawing>
          <wp:inline xmlns:a="http://schemas.openxmlformats.org/drawingml/2006/main" xmlns:pic="http://schemas.openxmlformats.org/drawingml/2006/picture">
            <wp:extent cx="5715000" cy="2825718"/>
            <wp:docPr id="1" name="Picture 1"/>
            <wp:cNvGraphicFramePr>
              <a:graphicFrameLocks noChangeAspect="1"/>
            </wp:cNvGraphicFramePr>
            <a:graphic>
              <a:graphicData uri="http://schemas.openxmlformats.org/drawingml/2006/picture">
                <pic:pic>
                  <pic:nvPicPr>
                    <pic:cNvPr id="0" name="samanantar_embedding_benchmark_colab_1__cell22_out0.png"/>
                    <pic:cNvPicPr/>
                  </pic:nvPicPr>
                  <pic:blipFill>
                    <a:blip r:embed="rId9"/>
                    <a:stretch>
                      <a:fillRect/>
                    </a:stretch>
                  </pic:blipFill>
                  <pic:spPr>
                    <a:xfrm>
                      <a:off x="0" y="0"/>
                      <a:ext cx="5715000" cy="2825718"/>
                    </a:xfrm>
                    <a:prstGeom prst="rect"/>
                  </pic:spPr>
                </pic:pic>
              </a:graphicData>
            </a:graphic>
          </wp:inline>
        </w:drawing>
      </w:r>
    </w:p>
    <w:p>
      <w:pPr>
        <w:jc w:val="center"/>
      </w:pPr>
      <w:r>
        <w:rPr>
          <w:i/>
          <w:color w:val="595959"/>
          <w:sz w:val="16"/>
        </w:rPr>
        <w:t>Figure 1. Samanantar retrieval benchmark: average Accuracy@1 by model.</w:t>
      </w:r>
    </w:p>
    <w:p>
      <w:r>
        <w:br w:type="page"/>
      </w:r>
    </w:p>
    <w:p>
      <w:pPr>
        <w:pStyle w:val="Heading1"/>
      </w:pPr>
      <w:r>
        <w:t>4. Samanantar Average Gold-Pair Cosine Benchmark</w:t>
      </w:r>
    </w:p>
    <w:p>
      <w:r>
        <w:rPr>
          <w:b/>
        </w:rPr>
        <w:t xml:space="preserve">Method. </w:t>
      </w:r>
      <w:r>
        <w:t>This benchmark was created as a closer comparison to Nikunj's method. It computes cosine similarity only for aligned gold translation pairs and then averages the score for each model-language pair. It does not test whether wrong target sentences also receive high cosine scores.</w:t>
      </w:r>
    </w:p>
    <w:tbl>
      <w:tblPr>
        <w:tblStyle w:val="TableGrid"/>
        <w:tblW w:type="auto" w:w="0"/>
        <w:jc w:val="center"/>
        <w:tblLook w:firstColumn="1" w:firstRow="1" w:lastColumn="0" w:lastRow="0" w:noHBand="0" w:noVBand="1" w:val="04A0"/>
      </w:tblPr>
      <w:tblGrid>
        <w:gridCol w:w="3812"/>
        <w:gridCol w:w="3812"/>
        <w:gridCol w:w="3812"/>
        <w:gridCol w:w="3812"/>
      </w:tblGrid>
      <w:tr>
        <w:tc>
          <w:tcPr>
            <w:tcW w:type="dxa" w:w="2736"/>
            <w:vAlign w:val="center"/>
            <w:shd w:fill="1F4E79"/>
          </w:tcPr>
          <w:p>
            <w:pPr>
              <w:jc w:val="center"/>
            </w:pPr>
            <w:r/>
            <w:r>
              <w:rPr>
                <w:b/>
                <w:color w:val="FFFFFF"/>
                <w:sz w:val="16"/>
              </w:rPr>
              <w:t>Model</w:t>
            </w:r>
          </w:p>
        </w:tc>
        <w:tc>
          <w:tcPr>
            <w:tcW w:type="dxa" w:w="1872"/>
            <w:vAlign w:val="center"/>
            <w:shd w:fill="1F4E79"/>
          </w:tcPr>
          <w:p>
            <w:pPr>
              <w:jc w:val="center"/>
            </w:pPr>
            <w:r/>
            <w:r>
              <w:rPr>
                <w:b/>
                <w:color w:val="FFFFFF"/>
                <w:sz w:val="16"/>
              </w:rPr>
              <w:t>Avg mean cosine</w:t>
            </w:r>
          </w:p>
        </w:tc>
        <w:tc>
          <w:tcPr>
            <w:tcW w:type="dxa" w:w="1872"/>
            <w:vAlign w:val="center"/>
            <w:shd w:fill="1F4E79"/>
          </w:tcPr>
          <w:p>
            <w:pPr>
              <w:jc w:val="center"/>
            </w:pPr>
            <w:r/>
            <w:r>
              <w:rPr>
                <w:b/>
                <w:color w:val="FFFFFF"/>
                <w:sz w:val="16"/>
              </w:rPr>
              <w:t>Avg % &gt; 0.60</w:t>
            </w:r>
          </w:p>
        </w:tc>
        <w:tc>
          <w:tcPr>
            <w:tcW w:type="dxa" w:w="1872"/>
            <w:vAlign w:val="center"/>
            <w:shd w:fill="1F4E79"/>
          </w:tcPr>
          <w:p>
            <w:pPr>
              <w:jc w:val="center"/>
            </w:pPr>
            <w:r/>
            <w:r>
              <w:rPr>
                <w:b/>
                <w:color w:val="FFFFFF"/>
                <w:sz w:val="16"/>
              </w:rPr>
              <w:t>Avg % &gt; 0.80</w:t>
            </w:r>
          </w:p>
        </w:tc>
      </w:tr>
      <w:tr>
        <w:tc>
          <w:tcPr>
            <w:tcW w:type="dxa" w:w="2736"/>
            <w:vAlign w:val="center"/>
          </w:tcPr>
          <w:p>
            <w:pPr>
              <w:jc w:val="left"/>
            </w:pPr>
            <w:r/>
            <w:r>
              <w:rPr>
                <w:b w:val="0"/>
                <w:sz w:val="16"/>
              </w:rPr>
              <w:t>XLM-RoBERTa base</w:t>
            </w:r>
          </w:p>
        </w:tc>
        <w:tc>
          <w:tcPr>
            <w:tcW w:type="dxa" w:w="1872"/>
            <w:vAlign w:val="center"/>
          </w:tcPr>
          <w:p>
            <w:pPr>
              <w:jc w:val="center"/>
            </w:pPr>
            <w:r/>
            <w:r>
              <w:rPr>
                <w:b w:val="0"/>
                <w:sz w:val="16"/>
              </w:rPr>
              <w:t>0.9941</w:t>
            </w:r>
          </w:p>
        </w:tc>
        <w:tc>
          <w:tcPr>
            <w:tcW w:type="dxa" w:w="1872"/>
            <w:vAlign w:val="center"/>
          </w:tcPr>
          <w:p>
            <w:pPr>
              <w:jc w:val="center"/>
            </w:pPr>
            <w:r/>
            <w:r>
              <w:rPr>
                <w:b w:val="0"/>
                <w:sz w:val="16"/>
              </w:rPr>
              <w:t>1.0000</w:t>
            </w:r>
          </w:p>
        </w:tc>
        <w:tc>
          <w:tcPr>
            <w:tcW w:type="dxa" w:w="1872"/>
            <w:vAlign w:val="center"/>
          </w:tcPr>
          <w:p>
            <w:pPr>
              <w:jc w:val="center"/>
            </w:pPr>
            <w:r/>
            <w:r>
              <w:rPr>
                <w:b w:val="0"/>
                <w:sz w:val="16"/>
              </w:rPr>
              <w:t>1.0000</w:t>
            </w:r>
          </w:p>
        </w:tc>
      </w:tr>
      <w:tr>
        <w:tc>
          <w:tcPr>
            <w:tcW w:type="dxa" w:w="2736"/>
            <w:vAlign w:val="center"/>
          </w:tcPr>
          <w:p>
            <w:pPr>
              <w:jc w:val="center"/>
            </w:pPr>
            <w:r/>
            <w:r>
              <w:rPr>
                <w:b w:val="0"/>
                <w:sz w:val="16"/>
              </w:rPr>
              <w:t>MuRIL</w:t>
            </w:r>
          </w:p>
        </w:tc>
        <w:tc>
          <w:tcPr>
            <w:tcW w:type="dxa" w:w="1872"/>
            <w:vAlign w:val="center"/>
          </w:tcPr>
          <w:p>
            <w:pPr>
              <w:jc w:val="center"/>
            </w:pPr>
            <w:r/>
            <w:r>
              <w:rPr>
                <w:b w:val="0"/>
                <w:sz w:val="16"/>
              </w:rPr>
              <w:t>0.9916</w:t>
            </w:r>
          </w:p>
        </w:tc>
        <w:tc>
          <w:tcPr>
            <w:tcW w:type="dxa" w:w="1872"/>
            <w:vAlign w:val="center"/>
          </w:tcPr>
          <w:p>
            <w:pPr>
              <w:jc w:val="center"/>
            </w:pPr>
            <w:r/>
            <w:r>
              <w:rPr>
                <w:b w:val="0"/>
                <w:sz w:val="16"/>
              </w:rPr>
              <w:t>1.0000</w:t>
            </w:r>
          </w:p>
        </w:tc>
        <w:tc>
          <w:tcPr>
            <w:tcW w:type="dxa" w:w="1872"/>
            <w:vAlign w:val="center"/>
          </w:tcPr>
          <w:p>
            <w:pPr>
              <w:jc w:val="center"/>
            </w:pPr>
            <w:r/>
            <w:r>
              <w:rPr>
                <w:b w:val="0"/>
                <w:sz w:val="16"/>
              </w:rPr>
              <w:t>1.0000</w:t>
            </w:r>
          </w:p>
        </w:tc>
      </w:tr>
      <w:tr>
        <w:tc>
          <w:tcPr>
            <w:tcW w:type="dxa" w:w="2736"/>
            <w:vAlign w:val="center"/>
          </w:tcPr>
          <w:p>
            <w:pPr>
              <w:jc w:val="center"/>
            </w:pPr>
            <w:r/>
            <w:r>
              <w:rPr>
                <w:b w:val="0"/>
                <w:sz w:val="16"/>
              </w:rPr>
              <w:t>LaBSE</w:t>
            </w:r>
          </w:p>
        </w:tc>
        <w:tc>
          <w:tcPr>
            <w:tcW w:type="dxa" w:w="1872"/>
            <w:vAlign w:val="center"/>
          </w:tcPr>
          <w:p>
            <w:pPr>
              <w:jc w:val="center"/>
            </w:pPr>
            <w:r/>
            <w:r>
              <w:rPr>
                <w:b w:val="0"/>
                <w:sz w:val="16"/>
              </w:rPr>
              <w:t>0.7872</w:t>
            </w:r>
          </w:p>
        </w:tc>
        <w:tc>
          <w:tcPr>
            <w:tcW w:type="dxa" w:w="1872"/>
            <w:vAlign w:val="center"/>
          </w:tcPr>
          <w:p>
            <w:pPr>
              <w:jc w:val="center"/>
            </w:pPr>
            <w:r/>
            <w:r>
              <w:rPr>
                <w:b w:val="0"/>
                <w:sz w:val="16"/>
              </w:rPr>
              <w:t>0.9168</w:t>
            </w:r>
          </w:p>
        </w:tc>
        <w:tc>
          <w:tcPr>
            <w:tcW w:type="dxa" w:w="1872"/>
            <w:vAlign w:val="center"/>
          </w:tcPr>
          <w:p>
            <w:pPr>
              <w:jc w:val="center"/>
            </w:pPr>
            <w:r/>
            <w:r>
              <w:rPr>
                <w:b w:val="0"/>
                <w:sz w:val="16"/>
              </w:rPr>
              <w:t>0.7425</w:t>
            </w:r>
          </w:p>
        </w:tc>
      </w:tr>
      <w:tr>
        <w:tc>
          <w:tcPr>
            <w:tcW w:type="dxa" w:w="2736"/>
            <w:vAlign w:val="center"/>
          </w:tcPr>
          <w:p>
            <w:pPr>
              <w:jc w:val="left"/>
            </w:pPr>
            <w:r/>
            <w:r>
              <w:rPr>
                <w:b w:val="0"/>
                <w:sz w:val="16"/>
              </w:rPr>
              <w:t>Multilingual MPNet</w:t>
            </w:r>
          </w:p>
        </w:tc>
        <w:tc>
          <w:tcPr>
            <w:tcW w:type="dxa" w:w="1872"/>
            <w:vAlign w:val="center"/>
          </w:tcPr>
          <w:p>
            <w:pPr>
              <w:jc w:val="center"/>
            </w:pPr>
            <w:r/>
            <w:r>
              <w:rPr>
                <w:b w:val="0"/>
                <w:sz w:val="16"/>
              </w:rPr>
              <w:t>0.6641</w:t>
            </w:r>
          </w:p>
        </w:tc>
        <w:tc>
          <w:tcPr>
            <w:tcW w:type="dxa" w:w="1872"/>
            <w:vAlign w:val="center"/>
          </w:tcPr>
          <w:p>
            <w:pPr>
              <w:jc w:val="center"/>
            </w:pPr>
            <w:r/>
            <w:r>
              <w:rPr>
                <w:b w:val="0"/>
                <w:sz w:val="16"/>
              </w:rPr>
              <w:t>0.6838</w:t>
            </w:r>
          </w:p>
        </w:tc>
        <w:tc>
          <w:tcPr>
            <w:tcW w:type="dxa" w:w="1872"/>
            <w:vAlign w:val="center"/>
          </w:tcPr>
          <w:p>
            <w:pPr>
              <w:jc w:val="center"/>
            </w:pPr>
            <w:r/>
            <w:r>
              <w:rPr>
                <w:b w:val="0"/>
                <w:sz w:val="16"/>
              </w:rPr>
              <w:t>0.2685</w:t>
            </w:r>
          </w:p>
        </w:tc>
      </w:tr>
      <w:tr>
        <w:tc>
          <w:tcPr>
            <w:tcW w:type="dxa" w:w="2736"/>
            <w:vAlign w:val="center"/>
          </w:tcPr>
          <w:p>
            <w:pPr>
              <w:jc w:val="center"/>
            </w:pPr>
            <w:r/>
            <w:r>
              <w:rPr>
                <w:b w:val="0"/>
                <w:sz w:val="16"/>
              </w:rPr>
              <w:t>IndicBERTv2-SS</w:t>
            </w:r>
          </w:p>
        </w:tc>
        <w:tc>
          <w:tcPr>
            <w:tcW w:type="dxa" w:w="1872"/>
            <w:vAlign w:val="center"/>
          </w:tcPr>
          <w:p>
            <w:pPr>
              <w:jc w:val="center"/>
            </w:pPr>
            <w:r/>
            <w:r>
              <w:rPr>
                <w:b w:val="0"/>
                <w:sz w:val="16"/>
              </w:rPr>
              <w:t>0.6287</w:t>
            </w:r>
          </w:p>
        </w:tc>
        <w:tc>
          <w:tcPr>
            <w:tcW w:type="dxa" w:w="1872"/>
            <w:vAlign w:val="center"/>
          </w:tcPr>
          <w:p>
            <w:pPr>
              <w:jc w:val="center"/>
            </w:pPr>
            <w:r/>
            <w:r>
              <w:rPr>
                <w:b w:val="0"/>
                <w:sz w:val="16"/>
              </w:rPr>
              <w:t>0.5165</w:t>
            </w:r>
          </w:p>
        </w:tc>
        <w:tc>
          <w:tcPr>
            <w:tcW w:type="dxa" w:w="1872"/>
            <w:vAlign w:val="center"/>
          </w:tcPr>
          <w:p>
            <w:pPr>
              <w:jc w:val="center"/>
            </w:pPr>
            <w:r/>
            <w:r>
              <w:rPr>
                <w:b w:val="0"/>
                <w:sz w:val="16"/>
              </w:rPr>
              <w:t>0.1327</w:t>
            </w:r>
          </w:p>
        </w:tc>
      </w:tr>
      <w:tr>
        <w:tc>
          <w:tcPr>
            <w:tcW w:type="dxa" w:w="2736"/>
            <w:vAlign w:val="center"/>
          </w:tcPr>
          <w:p>
            <w:pPr>
              <w:jc w:val="center"/>
            </w:pPr>
            <w:r/>
            <w:r>
              <w:rPr>
                <w:b w:val="0"/>
                <w:sz w:val="16"/>
              </w:rPr>
              <w:t>mContriever</w:t>
            </w:r>
          </w:p>
        </w:tc>
        <w:tc>
          <w:tcPr>
            <w:tcW w:type="dxa" w:w="1872"/>
            <w:vAlign w:val="center"/>
          </w:tcPr>
          <w:p>
            <w:pPr>
              <w:jc w:val="center"/>
            </w:pPr>
            <w:r/>
            <w:r>
              <w:rPr>
                <w:b w:val="0"/>
                <w:sz w:val="16"/>
              </w:rPr>
              <w:t>0.4447</w:t>
            </w:r>
          </w:p>
        </w:tc>
        <w:tc>
          <w:tcPr>
            <w:tcW w:type="dxa" w:w="1872"/>
            <w:vAlign w:val="center"/>
          </w:tcPr>
          <w:p>
            <w:pPr>
              <w:jc w:val="center"/>
            </w:pPr>
            <w:r/>
            <w:r>
              <w:rPr>
                <w:b w:val="0"/>
                <w:sz w:val="16"/>
              </w:rPr>
              <w:t>0.0431</w:t>
            </w:r>
          </w:p>
        </w:tc>
        <w:tc>
          <w:tcPr>
            <w:tcW w:type="dxa" w:w="1872"/>
            <w:vAlign w:val="center"/>
          </w:tcPr>
          <w:p>
            <w:pPr>
              <w:jc w:val="center"/>
            </w:pPr>
            <w:r/>
            <w:r>
              <w:rPr>
                <w:b w:val="0"/>
                <w:sz w:val="16"/>
              </w:rPr>
              <w:t>0.0003</w:t>
            </w:r>
          </w:p>
        </w:tc>
      </w:tr>
      <w:tr>
        <w:tc>
          <w:tcPr>
            <w:tcW w:type="dxa" w:w="2736"/>
            <w:vAlign w:val="center"/>
          </w:tcPr>
          <w:p>
            <w:pPr>
              <w:jc w:val="left"/>
            </w:pPr>
            <w:r/>
            <w:r>
              <w:rPr>
                <w:b w:val="0"/>
                <w:sz w:val="16"/>
              </w:rPr>
              <w:t>SBERT Multilingual MiniLM</w:t>
            </w:r>
          </w:p>
        </w:tc>
        <w:tc>
          <w:tcPr>
            <w:tcW w:type="dxa" w:w="1872"/>
            <w:vAlign w:val="center"/>
          </w:tcPr>
          <w:p>
            <w:pPr>
              <w:jc w:val="center"/>
            </w:pPr>
            <w:r/>
            <w:r>
              <w:rPr>
                <w:b w:val="0"/>
                <w:sz w:val="16"/>
              </w:rPr>
              <w:t>0.4107</w:t>
            </w:r>
          </w:p>
        </w:tc>
        <w:tc>
          <w:tcPr>
            <w:tcW w:type="dxa" w:w="1872"/>
            <w:vAlign w:val="center"/>
          </w:tcPr>
          <w:p>
            <w:pPr>
              <w:jc w:val="center"/>
            </w:pPr>
            <w:r/>
            <w:r>
              <w:rPr>
                <w:b w:val="0"/>
                <w:sz w:val="16"/>
              </w:rPr>
              <w:t>0.2754</w:t>
            </w:r>
          </w:p>
        </w:tc>
        <w:tc>
          <w:tcPr>
            <w:tcW w:type="dxa" w:w="1872"/>
            <w:vAlign w:val="center"/>
          </w:tcPr>
          <w:p>
            <w:pPr>
              <w:jc w:val="center"/>
            </w:pPr>
            <w:r/>
            <w:r>
              <w:rPr>
                <w:b w:val="0"/>
                <w:sz w:val="16"/>
              </w:rPr>
              <w:t>0.0860</w:t>
            </w:r>
          </w:p>
        </w:tc>
      </w:tr>
    </w:tbl>
    <w:p>
      <w:r>
        <w:drawing>
          <wp:inline xmlns:a="http://schemas.openxmlformats.org/drawingml/2006/main" xmlns:pic="http://schemas.openxmlformats.org/drawingml/2006/picture">
            <wp:extent cx="7086600" cy="2626315"/>
            <wp:docPr id="2" name="Picture 2"/>
            <wp:cNvGraphicFramePr>
              <a:graphicFrameLocks noChangeAspect="1"/>
            </wp:cNvGraphicFramePr>
            <a:graphic>
              <a:graphicData uri="http://schemas.openxmlformats.org/drawingml/2006/picture">
                <pic:pic>
                  <pic:nvPicPr>
                    <pic:cNvPr id="0" name="samanantar_avg_cosine_benchmark_colab_1__cell22_out0.png"/>
                    <pic:cNvPicPr/>
                  </pic:nvPicPr>
                  <pic:blipFill>
                    <a:blip r:embed="rId10"/>
                    <a:stretch>
                      <a:fillRect/>
                    </a:stretch>
                  </pic:blipFill>
                  <pic:spPr>
                    <a:xfrm>
                      <a:off x="0" y="0"/>
                      <a:ext cx="7086600" cy="2626315"/>
                    </a:xfrm>
                    <a:prstGeom prst="rect"/>
                  </pic:spPr>
                </pic:pic>
              </a:graphicData>
            </a:graphic>
          </wp:inline>
        </w:drawing>
      </w:r>
    </w:p>
    <w:p>
      <w:pPr>
        <w:jc w:val="center"/>
      </w:pPr>
      <w:r>
        <w:rPr>
          <w:i/>
          <w:color w:val="595959"/>
          <w:sz w:val="16"/>
        </w:rPr>
        <w:t>Figure 2. Samanantar average gold-pair cosine similarity by model and language pair.</w:t>
      </w:r>
    </w:p>
    <w:p>
      <w:pPr>
        <w:pStyle w:val="Heading1"/>
      </w:pPr>
      <w:r>
        <w:t>5. Why the Results Differ</w:t>
      </w:r>
    </w:p>
    <w:tbl>
      <w:tblPr>
        <w:tblStyle w:val="TableGrid"/>
        <w:tblW w:type="auto" w:w="0"/>
        <w:jc w:val="center"/>
        <w:tblLook w:firstColumn="1" w:firstRow="1" w:lastColumn="0" w:lastRow="0" w:noHBand="0" w:noVBand="1" w:val="04A0"/>
      </w:tblPr>
      <w:tblGrid>
        <w:gridCol w:w="3812"/>
        <w:gridCol w:w="3812"/>
        <w:gridCol w:w="3812"/>
        <w:gridCol w:w="3812"/>
      </w:tblGrid>
      <w:tr>
        <w:tc>
          <w:tcPr>
            <w:tcW w:type="dxa" w:w="2016"/>
            <w:vAlign w:val="center"/>
            <w:shd w:fill="1F4E79"/>
          </w:tcPr>
          <w:p>
            <w:pPr>
              <w:jc w:val="center"/>
            </w:pPr>
            <w:r/>
            <w:r>
              <w:rPr>
                <w:b/>
                <w:color w:val="FFFFFF"/>
                <w:sz w:val="16"/>
              </w:rPr>
              <w:t>Evaluation type</w:t>
            </w:r>
          </w:p>
        </w:tc>
        <w:tc>
          <w:tcPr>
            <w:tcW w:type="dxa" w:w="3600"/>
            <w:vAlign w:val="center"/>
            <w:shd w:fill="1F4E79"/>
          </w:tcPr>
          <w:p>
            <w:pPr>
              <w:jc w:val="center"/>
            </w:pPr>
            <w:r/>
            <w:r>
              <w:rPr>
                <w:b/>
                <w:color w:val="FFFFFF"/>
                <w:sz w:val="16"/>
              </w:rPr>
              <w:t>Question asked</w:t>
            </w:r>
          </w:p>
        </w:tc>
        <w:tc>
          <w:tcPr>
            <w:tcW w:type="dxa" w:w="3456"/>
            <w:vAlign w:val="center"/>
            <w:shd w:fill="1F4E79"/>
          </w:tcPr>
          <w:p>
            <w:pPr>
              <w:jc w:val="center"/>
            </w:pPr>
            <w:r/>
            <w:r>
              <w:rPr>
                <w:b/>
                <w:color w:val="FFFFFF"/>
                <w:sz w:val="16"/>
              </w:rPr>
              <w:t>Example</w:t>
            </w:r>
          </w:p>
        </w:tc>
        <w:tc>
          <w:tcPr>
            <w:tcW w:type="dxa" w:w="3168"/>
            <w:vAlign w:val="center"/>
            <w:shd w:fill="1F4E79"/>
          </w:tcPr>
          <w:p>
            <w:pPr>
              <w:jc w:val="center"/>
            </w:pPr>
            <w:r/>
            <w:r>
              <w:rPr>
                <w:b/>
                <w:color w:val="FFFFFF"/>
                <w:sz w:val="16"/>
              </w:rPr>
              <w:t>Outcome</w:t>
            </w:r>
          </w:p>
        </w:tc>
      </w:tr>
      <w:tr>
        <w:tc>
          <w:tcPr>
            <w:tcW w:type="dxa" w:w="2016"/>
            <w:vAlign w:val="center"/>
          </w:tcPr>
          <w:p>
            <w:pPr>
              <w:jc w:val="left"/>
            </w:pPr>
            <w:r/>
            <w:r>
              <w:rPr>
                <w:b w:val="0"/>
                <w:sz w:val="16"/>
              </w:rPr>
              <w:t>Threshold cosine</w:t>
            </w:r>
          </w:p>
        </w:tc>
        <w:tc>
          <w:tcPr>
            <w:tcW w:type="dxa" w:w="3600"/>
            <w:vAlign w:val="center"/>
          </w:tcPr>
          <w:p>
            <w:pPr>
              <w:jc w:val="left"/>
            </w:pPr>
            <w:r/>
            <w:r>
              <w:rPr>
                <w:b w:val="0"/>
                <w:sz w:val="16"/>
              </w:rPr>
              <w:t>Is the gold pair cosine above a fixed value such as 0.80?</w:t>
            </w:r>
          </w:p>
        </w:tc>
        <w:tc>
          <w:tcPr>
            <w:tcW w:type="dxa" w:w="3456"/>
            <w:vAlign w:val="center"/>
          </w:tcPr>
          <w:p>
            <w:pPr>
              <w:jc w:val="left"/>
            </w:pPr>
            <w:r/>
            <w:r>
              <w:rPr>
                <w:b w:val="0"/>
                <w:sz w:val="16"/>
              </w:rPr>
              <w:t>Correct pair cosine = 0.75</w:t>
            </w:r>
          </w:p>
        </w:tc>
        <w:tc>
          <w:tcPr>
            <w:tcW w:type="dxa" w:w="3168"/>
            <w:vAlign w:val="center"/>
          </w:tcPr>
          <w:p>
            <w:pPr>
              <w:jc w:val="left"/>
            </w:pPr>
            <w:r/>
            <w:r>
              <w:rPr>
                <w:b w:val="0"/>
                <w:sz w:val="16"/>
              </w:rPr>
              <w:t>Fails because 0.75 &lt; 0.80</w:t>
            </w:r>
          </w:p>
        </w:tc>
      </w:tr>
      <w:tr>
        <w:tc>
          <w:tcPr>
            <w:tcW w:type="dxa" w:w="2016"/>
            <w:vAlign w:val="center"/>
          </w:tcPr>
          <w:p>
            <w:pPr>
              <w:jc w:val="center"/>
            </w:pPr>
            <w:r/>
            <w:r>
              <w:rPr>
                <w:b w:val="0"/>
                <w:sz w:val="16"/>
              </w:rPr>
              <w:t>Average cosine</w:t>
            </w:r>
          </w:p>
        </w:tc>
        <w:tc>
          <w:tcPr>
            <w:tcW w:type="dxa" w:w="3600"/>
            <w:vAlign w:val="center"/>
          </w:tcPr>
          <w:p>
            <w:pPr>
              <w:jc w:val="left"/>
            </w:pPr>
            <w:r/>
            <w:r>
              <w:rPr>
                <w:b w:val="0"/>
                <w:sz w:val="16"/>
              </w:rPr>
              <w:t>What is the average similarity of gold translation pairs?</w:t>
            </w:r>
          </w:p>
        </w:tc>
        <w:tc>
          <w:tcPr>
            <w:tcW w:type="dxa" w:w="3456"/>
            <w:vAlign w:val="center"/>
          </w:tcPr>
          <w:p>
            <w:pPr>
              <w:jc w:val="left"/>
            </w:pPr>
            <w:r/>
            <w:r>
              <w:rPr>
                <w:b w:val="0"/>
                <w:sz w:val="16"/>
              </w:rPr>
              <w:t>Gold pairs are high on average</w:t>
            </w:r>
          </w:p>
        </w:tc>
        <w:tc>
          <w:tcPr>
            <w:tcW w:type="dxa" w:w="3168"/>
            <w:vAlign w:val="center"/>
          </w:tcPr>
          <w:p>
            <w:pPr>
              <w:jc w:val="left"/>
            </w:pPr>
            <w:r/>
            <w:r>
              <w:rPr>
                <w:b w:val="0"/>
                <w:sz w:val="16"/>
              </w:rPr>
              <w:t>Looks strong, but says nothing about wrong candidates</w:t>
            </w:r>
          </w:p>
        </w:tc>
      </w:tr>
      <w:tr>
        <w:tc>
          <w:tcPr>
            <w:tcW w:type="dxa" w:w="2016"/>
            <w:vAlign w:val="center"/>
          </w:tcPr>
          <w:p>
            <w:pPr>
              <w:jc w:val="left"/>
            </w:pPr>
            <w:r/>
            <w:r>
              <w:rPr>
                <w:b w:val="0"/>
                <w:sz w:val="16"/>
              </w:rPr>
              <w:t>Retrieval Accuracy@1</w:t>
            </w:r>
          </w:p>
        </w:tc>
        <w:tc>
          <w:tcPr>
            <w:tcW w:type="dxa" w:w="3600"/>
            <w:vAlign w:val="center"/>
          </w:tcPr>
          <w:p>
            <w:pPr>
              <w:jc w:val="left"/>
            </w:pPr>
            <w:r/>
            <w:r>
              <w:rPr>
                <w:b w:val="0"/>
                <w:sz w:val="16"/>
              </w:rPr>
              <w:t>Is the gold translation the nearest neighbour among all candidates?</w:t>
            </w:r>
          </w:p>
        </w:tc>
        <w:tc>
          <w:tcPr>
            <w:tcW w:type="dxa" w:w="3456"/>
            <w:vAlign w:val="center"/>
          </w:tcPr>
          <w:p>
            <w:pPr>
              <w:jc w:val="left"/>
            </w:pPr>
            <w:r/>
            <w:r>
              <w:rPr>
                <w:b w:val="0"/>
                <w:sz w:val="16"/>
              </w:rPr>
              <w:t>Correct = 0.75; wrong candidates = 0.40, 0.33, 0.28</w:t>
            </w:r>
          </w:p>
        </w:tc>
        <w:tc>
          <w:tcPr>
            <w:tcW w:type="dxa" w:w="3168"/>
            <w:vAlign w:val="center"/>
          </w:tcPr>
          <w:p>
            <w:pPr>
              <w:jc w:val="left"/>
            </w:pPr>
            <w:r/>
            <w:r>
              <w:rPr>
                <w:b w:val="0"/>
                <w:sz w:val="16"/>
              </w:rPr>
              <w:t>Succeeds because the correct translation is still highest</w:t>
            </w:r>
          </w:p>
        </w:tc>
      </w:tr>
    </w:tbl>
    <w:p>
      <w:r>
        <w:rPr>
          <w:b/>
        </w:rPr>
        <w:t xml:space="preserve">Therefore, Nikunj's LaBSE result and the retrieval result are not contradictory. </w:t>
      </w:r>
      <w:r>
        <w:t>A strict threshold benchmark can report fewer than 80% of pairs above 0.80, while a retrieval benchmark can still report very high Accuracy@1 if the correct translations are ranked above all competing candidates.</w:t>
      </w:r>
    </w:p>
    <w:p>
      <w:pPr>
        <w:pStyle w:val="Heading1"/>
      </w:pPr>
      <w:r>
        <w:t>6. Alignment and Uniformity</w:t>
      </w:r>
    </w:p>
    <w:p>
      <w:r>
        <w:rPr>
          <w:b/>
        </w:rPr>
        <w:t xml:space="preserve">Alignment. </w:t>
      </w:r>
      <w:r>
        <w:t>Similar sentences should be close together. In this project, an English sentence and its Indic translation should have high cosine similarity. Nikunj's threshold benchmark and the average-cosine benchmark mainly measure this property.</w:t>
      </w:r>
    </w:p>
    <w:p>
      <w:r>
        <w:rPr>
          <w:b/>
        </w:rPr>
        <w:t xml:space="preserve">Uniformity. </w:t>
      </w:r>
      <w:r>
        <w:t>Sentence embeddings should be spread out well in the vector space. Wrong or unrelated sentences should not all collapse into the same region. Retrieval metrics depend on this property because the correct translation must beat all wrong candidates, not just be close in absolute terms.</w:t>
      </w:r>
    </w:p>
    <w:tbl>
      <w:tblPr>
        <w:tblStyle w:val="TableGrid"/>
        <w:tblW w:type="auto" w:w="0"/>
        <w:jc w:val="center"/>
        <w:tblLook w:firstColumn="1" w:firstRow="1" w:lastColumn="0" w:lastRow="0" w:noHBand="0" w:noVBand="1" w:val="04A0"/>
      </w:tblPr>
      <w:tblGrid>
        <w:gridCol w:w="5083"/>
        <w:gridCol w:w="5083"/>
        <w:gridCol w:w="5083"/>
      </w:tblGrid>
      <w:tr>
        <w:tc>
          <w:tcPr>
            <w:tcW w:type="dxa" w:w="3312"/>
            <w:vAlign w:val="center"/>
            <w:shd w:fill="1F4E79"/>
          </w:tcPr>
          <w:p>
            <w:pPr>
              <w:jc w:val="left"/>
            </w:pPr>
            <w:r/>
            <w:r>
              <w:rPr>
                <w:b/>
                <w:color w:val="FFFFFF"/>
                <w:sz w:val="16"/>
              </w:rPr>
              <w:t>Observed behaviour</w:t>
            </w:r>
          </w:p>
        </w:tc>
        <w:tc>
          <w:tcPr>
            <w:tcW w:type="dxa" w:w="4896"/>
            <w:vAlign w:val="center"/>
            <w:shd w:fill="1F4E79"/>
          </w:tcPr>
          <w:p>
            <w:pPr>
              <w:jc w:val="center"/>
            </w:pPr>
            <w:r/>
            <w:r>
              <w:rPr>
                <w:b/>
                <w:color w:val="FFFFFF"/>
                <w:sz w:val="16"/>
              </w:rPr>
              <w:t>Meaning</w:t>
            </w:r>
          </w:p>
        </w:tc>
        <w:tc>
          <w:tcPr>
            <w:tcW w:type="dxa" w:w="4320"/>
            <w:vAlign w:val="center"/>
            <w:shd w:fill="1F4E79"/>
          </w:tcPr>
          <w:p>
            <w:pPr>
              <w:jc w:val="left"/>
            </w:pPr>
            <w:r/>
            <w:r>
              <w:rPr>
                <w:b/>
                <w:color w:val="FFFFFF"/>
                <w:sz w:val="16"/>
              </w:rPr>
              <w:t>Example/Implication</w:t>
            </w:r>
          </w:p>
        </w:tc>
      </w:tr>
      <w:tr>
        <w:tc>
          <w:tcPr>
            <w:tcW w:type="dxa" w:w="3312"/>
            <w:vAlign w:val="center"/>
          </w:tcPr>
          <w:p>
            <w:pPr>
              <w:jc w:val="left"/>
            </w:pPr>
            <w:r/>
            <w:r>
              <w:rPr>
                <w:b w:val="0"/>
                <w:sz w:val="16"/>
              </w:rPr>
              <w:t>High average cosine + high Accuracy@1</w:t>
            </w:r>
          </w:p>
        </w:tc>
        <w:tc>
          <w:tcPr>
            <w:tcW w:type="dxa" w:w="4896"/>
            <w:vAlign w:val="center"/>
          </w:tcPr>
          <w:p>
            <w:pPr>
              <w:jc w:val="left"/>
            </w:pPr>
            <w:r/>
            <w:r>
              <w:rPr>
                <w:b w:val="0"/>
                <w:sz w:val="16"/>
              </w:rPr>
              <w:t>Good alignment and good separation</w:t>
            </w:r>
          </w:p>
        </w:tc>
        <w:tc>
          <w:tcPr>
            <w:tcW w:type="dxa" w:w="4320"/>
            <w:vAlign w:val="center"/>
          </w:tcPr>
          <w:p>
            <w:pPr>
              <w:jc w:val="left"/>
            </w:pPr>
            <w:r/>
            <w:r>
              <w:rPr>
                <w:b w:val="0"/>
                <w:sz w:val="16"/>
              </w:rPr>
              <w:t>LaBSE is the clearest example.</w:t>
            </w:r>
          </w:p>
        </w:tc>
      </w:tr>
      <w:tr>
        <w:tc>
          <w:tcPr>
            <w:tcW w:type="dxa" w:w="3312"/>
            <w:vAlign w:val="center"/>
          </w:tcPr>
          <w:p>
            <w:pPr>
              <w:jc w:val="left"/>
            </w:pPr>
            <w:r/>
            <w:r>
              <w:rPr>
                <w:b w:val="0"/>
                <w:sz w:val="16"/>
              </w:rPr>
              <w:t>High average cosine + low Accuracy@1</w:t>
            </w:r>
          </w:p>
        </w:tc>
        <w:tc>
          <w:tcPr>
            <w:tcW w:type="dxa" w:w="4896"/>
            <w:vAlign w:val="center"/>
          </w:tcPr>
          <w:p>
            <w:pPr>
              <w:jc w:val="left"/>
            </w:pPr>
            <w:r/>
            <w:r>
              <w:rPr>
                <w:b w:val="0"/>
                <w:sz w:val="16"/>
              </w:rPr>
              <w:t>Gold pairs are close, but wrong pairs may also be close; poor uniformity/separation</w:t>
            </w:r>
          </w:p>
        </w:tc>
        <w:tc>
          <w:tcPr>
            <w:tcW w:type="dxa" w:w="4320"/>
            <w:vAlign w:val="center"/>
          </w:tcPr>
          <w:p>
            <w:pPr>
              <w:jc w:val="left"/>
            </w:pPr>
            <w:r/>
            <w:r>
              <w:rPr>
                <w:b w:val="0"/>
                <w:sz w:val="16"/>
              </w:rPr>
              <w:t>XLM-RoBERTa and MuRIL under mean pooling can show this behaviour.</w:t>
            </w:r>
          </w:p>
        </w:tc>
      </w:tr>
      <w:tr>
        <w:tc>
          <w:tcPr>
            <w:tcW w:type="dxa" w:w="3312"/>
            <w:vAlign w:val="center"/>
          </w:tcPr>
          <w:p>
            <w:pPr>
              <w:jc w:val="left"/>
            </w:pPr>
            <w:r/>
            <w:r>
              <w:rPr>
                <w:b w:val="0"/>
                <w:sz w:val="16"/>
              </w:rPr>
              <w:t>Low average cosine + low Accuracy@1</w:t>
            </w:r>
          </w:p>
        </w:tc>
        <w:tc>
          <w:tcPr>
            <w:tcW w:type="dxa" w:w="4896"/>
            <w:vAlign w:val="center"/>
          </w:tcPr>
          <w:p>
            <w:pPr>
              <w:jc w:val="left"/>
            </w:pPr>
            <w:r/>
            <w:r>
              <w:rPr>
                <w:b w:val="0"/>
                <w:sz w:val="16"/>
              </w:rPr>
              <w:t>Weak alignment and weak retrieval usefulness</w:t>
            </w:r>
          </w:p>
        </w:tc>
        <w:tc>
          <w:tcPr>
            <w:tcW w:type="dxa" w:w="4320"/>
            <w:vAlign w:val="center"/>
          </w:tcPr>
          <w:p>
            <w:pPr>
              <w:jc w:val="left"/>
            </w:pPr>
            <w:r/>
            <w:r>
              <w:rPr>
                <w:b w:val="0"/>
                <w:sz w:val="16"/>
              </w:rPr>
              <w:t>Some baseline/backbone models can fall here.</w:t>
            </w:r>
          </w:p>
        </w:tc>
      </w:tr>
      <w:tr>
        <w:tc>
          <w:tcPr>
            <w:tcW w:type="dxa" w:w="3312"/>
            <w:vAlign w:val="center"/>
          </w:tcPr>
          <w:p>
            <w:pPr>
              <w:jc w:val="left"/>
            </w:pPr>
            <w:r/>
            <w:r>
              <w:rPr>
                <w:b w:val="0"/>
                <w:sz w:val="16"/>
              </w:rPr>
              <w:t>Moderate cosine + high Accuracy@1</w:t>
            </w:r>
          </w:p>
        </w:tc>
        <w:tc>
          <w:tcPr>
            <w:tcW w:type="dxa" w:w="4896"/>
            <w:vAlign w:val="center"/>
          </w:tcPr>
          <w:p>
            <w:pPr>
              <w:jc w:val="left"/>
            </w:pPr>
            <w:r/>
            <w:r>
              <w:rPr>
                <w:b w:val="0"/>
                <w:sz w:val="16"/>
              </w:rPr>
              <w:t>Absolute scores are not very high, but the correct candidate is still ranked above wrong candidates</w:t>
            </w:r>
          </w:p>
        </w:tc>
        <w:tc>
          <w:tcPr>
            <w:tcW w:type="dxa" w:w="4320"/>
            <w:vAlign w:val="center"/>
          </w:tcPr>
          <w:p>
            <w:pPr>
              <w:jc w:val="left"/>
            </w:pPr>
            <w:r/>
            <w:r>
              <w:rPr>
                <w:b w:val="0"/>
                <w:sz w:val="16"/>
              </w:rPr>
              <w:t>This is why threshold metrics alone are insufficient.</w:t>
            </w:r>
          </w:p>
        </w:tc>
      </w:tr>
    </w:tbl>
    <w:p>
      <w:pPr>
        <w:pStyle w:val="Heading1"/>
      </w:pPr>
      <w:r>
        <w:t>7. Why XLM-RoBERTa Can Look Good in Average Cosine but Poor in Accuracy@1</w:t>
      </w:r>
    </w:p>
    <w:p>
      <w:r>
        <w:rPr>
          <w:b/>
        </w:rPr>
        <w:t xml:space="preserve">XLM-RoBERTa is a multilingual backbone model, not a sentence-embedding model optimized for nearest-neighbour retrieval. </w:t>
      </w:r>
      <w:r>
        <w:t>With simple mean pooling, many embeddings can become highly similar to each other. This can produce very high gold-pair cosine scores while also giving similarly high scores to wrong candidates.</w:t>
      </w:r>
    </w:p>
    <w:p>
      <w:r>
        <w:rPr>
          <w:b/>
        </w:rPr>
        <w:t xml:space="preserve">Example: </w:t>
      </w:r>
      <w:r>
        <w:t>Correct translation cosine = 0.99, but wrong sentence cosines = 0.98, 0.99, 0.98. The average gold-pair cosine looks excellent, but retrieval can fail because the correct translation is not clearly separated. This is a uniformity problem: the vector space is not spread out enough for reliable nearest-neighbour retrieval.</w:t>
      </w:r>
    </w:p>
    <w:p>
      <w:pPr>
        <w:pStyle w:val="Heading1"/>
      </w:pPr>
      <w:r>
        <w:t>8. Final Reporting Recommendation</w:t>
      </w:r>
    </w:p>
    <w:p>
      <w:r>
        <w:rPr>
          <w:b/>
        </w:rPr>
        <w:t xml:space="preserve">The strongest documentation should report both alignment-style and retrieval-style metrics. </w:t>
      </w:r>
      <w:r>
        <w:t>Average cosine or threshold cosine alone can be misleading because they only check gold-pair closeness. Retrieval Accuracy@1, Recall@10, MRR, and cosine gap show whether the embedding space can actually separate correct translations from wrong candidates.</w:t>
      </w:r>
    </w:p>
    <w:tbl>
      <w:tblPr>
        <w:tblStyle w:val="TableGrid"/>
        <w:tblW w:type="auto" w:w="0"/>
        <w:jc w:val="center"/>
        <w:tblLook w:firstColumn="1" w:firstRow="1" w:lastColumn="0" w:lastRow="0" w:noHBand="0" w:noVBand="1" w:val="04A0"/>
      </w:tblPr>
      <w:tblGrid>
        <w:gridCol w:w="5083"/>
        <w:gridCol w:w="5083"/>
        <w:gridCol w:w="5083"/>
      </w:tblGrid>
      <w:tr>
        <w:tc>
          <w:tcPr>
            <w:tcW w:type="dxa" w:w="2880"/>
            <w:vAlign w:val="center"/>
            <w:shd w:fill="1F4E79"/>
          </w:tcPr>
          <w:p>
            <w:pPr>
              <w:jc w:val="left"/>
            </w:pPr>
            <w:r/>
            <w:r>
              <w:rPr>
                <w:b/>
                <w:color w:val="FFFFFF"/>
                <w:sz w:val="16"/>
              </w:rPr>
              <w:t>Report component</w:t>
            </w:r>
          </w:p>
        </w:tc>
        <w:tc>
          <w:tcPr>
            <w:tcW w:type="dxa" w:w="3168"/>
            <w:vAlign w:val="center"/>
            <w:shd w:fill="1F4E79"/>
          </w:tcPr>
          <w:p>
            <w:pPr>
              <w:jc w:val="center"/>
            </w:pPr>
            <w:r/>
            <w:r>
              <w:rPr>
                <w:b/>
                <w:color w:val="FFFFFF"/>
                <w:sz w:val="16"/>
              </w:rPr>
              <w:t>Metric(s)</w:t>
            </w:r>
          </w:p>
        </w:tc>
        <w:tc>
          <w:tcPr>
            <w:tcW w:type="dxa" w:w="6480"/>
            <w:vAlign w:val="center"/>
            <w:shd w:fill="1F4E79"/>
          </w:tcPr>
          <w:p>
            <w:pPr>
              <w:jc w:val="center"/>
            </w:pPr>
            <w:r/>
            <w:r>
              <w:rPr>
                <w:b/>
                <w:color w:val="FFFFFF"/>
                <w:sz w:val="16"/>
              </w:rPr>
              <w:t>Reason</w:t>
            </w:r>
          </w:p>
        </w:tc>
      </w:tr>
      <w:tr>
        <w:tc>
          <w:tcPr>
            <w:tcW w:type="dxa" w:w="2880"/>
            <w:vAlign w:val="center"/>
          </w:tcPr>
          <w:p>
            <w:pPr>
              <w:jc w:val="left"/>
            </w:pPr>
            <w:r/>
            <w:r>
              <w:rPr>
                <w:b w:val="0"/>
                <w:sz w:val="16"/>
              </w:rPr>
              <w:t>Primary retrieval metrics</w:t>
            </w:r>
          </w:p>
        </w:tc>
        <w:tc>
          <w:tcPr>
            <w:tcW w:type="dxa" w:w="3168"/>
            <w:vAlign w:val="center"/>
          </w:tcPr>
          <w:p>
            <w:pPr>
              <w:jc w:val="left"/>
            </w:pPr>
            <w:r/>
            <w:r>
              <w:rPr>
                <w:b w:val="0"/>
                <w:sz w:val="16"/>
              </w:rPr>
              <w:t>Accuracy@1, Recall@10, MRR</w:t>
            </w:r>
          </w:p>
        </w:tc>
        <w:tc>
          <w:tcPr>
            <w:tcW w:type="dxa" w:w="6480"/>
            <w:vAlign w:val="center"/>
          </w:tcPr>
          <w:p>
            <w:pPr>
              <w:jc w:val="left"/>
            </w:pPr>
            <w:r/>
            <w:r>
              <w:rPr>
                <w:b w:val="0"/>
                <w:sz w:val="16"/>
              </w:rPr>
              <w:t>Shows whether correct translations are ranked above candidates.</w:t>
            </w:r>
          </w:p>
        </w:tc>
      </w:tr>
      <w:tr>
        <w:tc>
          <w:tcPr>
            <w:tcW w:type="dxa" w:w="2880"/>
            <w:vAlign w:val="center"/>
          </w:tcPr>
          <w:p>
            <w:pPr>
              <w:jc w:val="left"/>
            </w:pPr>
            <w:r/>
            <w:r>
              <w:rPr>
                <w:b w:val="0"/>
                <w:sz w:val="16"/>
              </w:rPr>
              <w:t>Alignment metrics</w:t>
            </w:r>
          </w:p>
        </w:tc>
        <w:tc>
          <w:tcPr>
            <w:tcW w:type="dxa" w:w="3168"/>
            <w:vAlign w:val="center"/>
          </w:tcPr>
          <w:p>
            <w:pPr>
              <w:jc w:val="left"/>
            </w:pPr>
            <w:r/>
            <w:r>
              <w:rPr>
                <w:b w:val="0"/>
                <w:sz w:val="16"/>
              </w:rPr>
              <w:t>Mean gold-pair cosine, % &gt; 0.80</w:t>
            </w:r>
          </w:p>
        </w:tc>
        <w:tc>
          <w:tcPr>
            <w:tcW w:type="dxa" w:w="6480"/>
            <w:vAlign w:val="center"/>
          </w:tcPr>
          <w:p>
            <w:pPr>
              <w:jc w:val="left"/>
            </w:pPr>
            <w:r/>
            <w:r>
              <w:rPr>
                <w:b w:val="0"/>
                <w:sz w:val="16"/>
              </w:rPr>
              <w:t>Shows whether true translation pairs are close in absolute terms.</w:t>
            </w:r>
          </w:p>
        </w:tc>
      </w:tr>
      <w:tr>
        <w:tc>
          <w:tcPr>
            <w:tcW w:type="dxa" w:w="2880"/>
            <w:vAlign w:val="center"/>
          </w:tcPr>
          <w:p>
            <w:pPr>
              <w:jc w:val="left"/>
            </w:pPr>
            <w:r/>
            <w:r>
              <w:rPr>
                <w:b w:val="0"/>
                <w:sz w:val="16"/>
              </w:rPr>
              <w:t>Separation metric</w:t>
            </w:r>
          </w:p>
        </w:tc>
        <w:tc>
          <w:tcPr>
            <w:tcW w:type="dxa" w:w="3168"/>
            <w:vAlign w:val="center"/>
          </w:tcPr>
          <w:p>
            <w:pPr>
              <w:jc w:val="center"/>
            </w:pPr>
            <w:r/>
            <w:r>
              <w:rPr>
                <w:b w:val="0"/>
                <w:sz w:val="16"/>
              </w:rPr>
              <w:t>Cosine gap</w:t>
            </w:r>
          </w:p>
        </w:tc>
        <w:tc>
          <w:tcPr>
            <w:tcW w:type="dxa" w:w="6480"/>
            <w:vAlign w:val="center"/>
          </w:tcPr>
          <w:p>
            <w:pPr>
              <w:jc w:val="left"/>
            </w:pPr>
            <w:r/>
            <w:r>
              <w:rPr>
                <w:b w:val="0"/>
                <w:sz w:val="16"/>
              </w:rPr>
              <w:t>Shows whether true pairs are closer than random wrong pairs.</w:t>
            </w:r>
          </w:p>
        </w:tc>
      </w:tr>
      <w:tr>
        <w:tc>
          <w:tcPr>
            <w:tcW w:type="dxa" w:w="2880"/>
            <w:vAlign w:val="center"/>
          </w:tcPr>
          <w:p>
            <w:pPr>
              <w:jc w:val="left"/>
            </w:pPr>
            <w:r/>
            <w:r>
              <w:rPr>
                <w:b w:val="0"/>
                <w:sz w:val="16"/>
              </w:rPr>
              <w:t>Qualitative check</w:t>
            </w:r>
          </w:p>
        </w:tc>
        <w:tc>
          <w:tcPr>
            <w:tcW w:type="dxa" w:w="3168"/>
            <w:vAlign w:val="center"/>
          </w:tcPr>
          <w:p>
            <w:pPr>
              <w:jc w:val="center"/>
            </w:pPr>
            <w:r/>
            <w:r>
              <w:rPr>
                <w:b w:val="0"/>
                <w:sz w:val="16"/>
              </w:rPr>
              <w:t>Error examples</w:t>
            </w:r>
          </w:p>
        </w:tc>
        <w:tc>
          <w:tcPr>
            <w:tcW w:type="dxa" w:w="6480"/>
            <w:vAlign w:val="center"/>
          </w:tcPr>
          <w:p>
            <w:pPr>
              <w:jc w:val="left"/>
            </w:pPr>
            <w:r/>
            <w:r>
              <w:rPr>
                <w:b w:val="0"/>
                <w:sz w:val="16"/>
              </w:rPr>
              <w:t>Shows where a model confuses semantically similar but incorrect candidates.</w:t>
            </w:r>
          </w:p>
        </w:tc>
      </w:tr>
    </w:tbl>
    <w:p>
      <w:pPr>
        <w:pStyle w:val="Heading1"/>
      </w:pPr>
      <w:r>
        <w:t>9. Result Folders and Notebooks</w:t>
      </w:r>
    </w:p>
    <w:p>
      <w:r>
        <w:rPr>
          <w:b/>
        </w:rPr>
        <w:t xml:space="preserve">Samanantar Retrieval Accuracy Benchmark Results: </w:t>
      </w:r>
      <w:hyperlink r:id="rId11">
        <w:r>
          <w:rPr>
            <w:color w:val="0563C1"/>
            <w:u w:val="single"/>
          </w:rPr>
          <w:t>Drive folder</w:t>
        </w:r>
      </w:hyperlink>
    </w:p>
    <w:p>
      <w:r>
        <w:rPr>
          <w:b/>
        </w:rPr>
        <w:t xml:space="preserve">Samanantar Average Gold-Pair Cosine Benchmark Results: </w:t>
      </w:r>
      <w:hyperlink r:id="rId12">
        <w:r>
          <w:rPr>
            <w:color w:val="0563C1"/>
            <w:u w:val="single"/>
          </w:rPr>
          <w:t>Drive folder</w:t>
        </w:r>
      </w:hyperlink>
    </w:p>
    <w:p>
      <w:r>
        <w:rPr>
          <w:b/>
        </w:rPr>
        <w:t xml:space="preserve">Nikunj benchmark notebook: </w:t>
      </w:r>
      <w:r>
        <w:t>teammate_benchmark.ipynb</w:t>
      </w:r>
    </w:p>
    <w:p>
      <w:r>
        <w:drawing>
          <wp:inline xmlns:a="http://schemas.openxmlformats.org/drawingml/2006/main" xmlns:pic="http://schemas.openxmlformats.org/drawingml/2006/picture">
            <wp:extent cx="7315200" cy="2407121"/>
            <wp:docPr id="3" name="Picture 3"/>
            <wp:cNvGraphicFramePr>
              <a:graphicFrameLocks noChangeAspect="1"/>
            </wp:cNvGraphicFramePr>
            <a:graphic>
              <a:graphicData uri="http://schemas.openxmlformats.org/drawingml/2006/picture">
                <pic:pic>
                  <pic:nvPicPr>
                    <pic:cNvPr id="0" name="samanantar_embedding_benchmark_colab_1__cell23_out0.png"/>
                    <pic:cNvPicPr/>
                  </pic:nvPicPr>
                  <pic:blipFill>
                    <a:blip r:embed="rId13"/>
                    <a:stretch>
                      <a:fillRect/>
                    </a:stretch>
                  </pic:blipFill>
                  <pic:spPr>
                    <a:xfrm>
                      <a:off x="0" y="0"/>
                      <a:ext cx="7315200" cy="2407121"/>
                    </a:xfrm>
                    <a:prstGeom prst="rect"/>
                  </pic:spPr>
                </pic:pic>
              </a:graphicData>
            </a:graphic>
          </wp:inline>
        </w:drawing>
      </w:r>
    </w:p>
    <w:p>
      <w:pPr>
        <w:jc w:val="center"/>
      </w:pPr>
      <w:r>
        <w:rPr>
          <w:i/>
          <w:color w:val="595959"/>
          <w:sz w:val="16"/>
        </w:rPr>
        <w:t>Figure 3. Samanantar retrieval Accuracy@1 by model and language direction.</w:t>
      </w:r>
    </w:p>
    <w:p>
      <w:r>
        <w:rPr>
          <w:b/>
        </w:rPr>
        <w:t xml:space="preserve">Final conclusion. </w:t>
      </w:r>
      <w:r>
        <w:t>LaBSE remains the strongest model overall because it performs well in both gold-pair similarity and retrieval. XLM-RoBERTa demonstrates why average cosine alone is not enough: high gold-pair cosine can coexist with poor retrieval if embeddings are not uniformly spread and wrong candidates are also close.</w:t>
      </w:r>
    </w:p>
    <w:sectPr w:rsidR="00FC693F" w:rsidRPr="0006063C" w:rsidSect="00034616">
      <w:pgSz w:w="16834" w:h="11909"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drive.google.com/drive/folders/1nTULUpaI_s0BHtXIWHsg5Qmoav77UKuh?usp=sharing" TargetMode="External"/><Relationship Id="rId12" Type="http://schemas.openxmlformats.org/officeDocument/2006/relationships/hyperlink" Target="https://drive.google.com/drive/folders/1uHHBK5F_hqCtxWYAvCA7XTtEPWxu7IS0?usp=sharing" TargetMode="External"/><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