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8E77" w14:textId="77777777" w:rsidR="004907FB" w:rsidRDefault="00000000">
      <w:pPr>
        <w:pStyle w:val="Title"/>
        <w:jc w:val="center"/>
      </w:pPr>
      <w:r>
        <w:t>MINI-HACKATHON – 2</w:t>
      </w:r>
      <w:r>
        <w:br/>
        <w:t>COMPARATIVE ANALYSIS OF EXISTING RESEARCH WORKS</w:t>
      </w:r>
    </w:p>
    <w:p w14:paraId="5E7F3688" w14:textId="41295944" w:rsidR="004907FB" w:rsidRDefault="00000000">
      <w:pPr>
        <w:jc w:val="center"/>
        <w:rPr>
          <w:rFonts w:hint="eastAsia"/>
        </w:rPr>
      </w:pPr>
      <w:r>
        <w:rPr>
          <w:b/>
          <w:color w:val="0091A5"/>
          <w:sz w:val="24"/>
        </w:rPr>
        <w:t xml:space="preserve">AI-Based News Topic Categorization System </w:t>
      </w:r>
    </w:p>
    <w:p w14:paraId="515BEE4D" w14:textId="77777777" w:rsidR="004907FB" w:rsidRDefault="00000000">
      <w:pPr>
        <w:jc w:val="center"/>
        <w:rPr>
          <w:i/>
        </w:rPr>
      </w:pPr>
      <w:r>
        <w:rPr>
          <w:i/>
        </w:rPr>
        <w:t>Comparative Analysis • Research Gap Identification • Research Paper Drafting</w:t>
      </w:r>
    </w:p>
    <w:p w14:paraId="3E512710" w14:textId="77777777" w:rsidR="007349AD" w:rsidRPr="007349AD" w:rsidRDefault="007349AD" w:rsidP="007349AD">
      <w:pPr>
        <w:jc w:val="center"/>
        <w:rPr>
          <w:i/>
          <w:lang w:val="en-IN"/>
        </w:rPr>
      </w:pPr>
      <w:r w:rsidRPr="007349AD">
        <w:rPr>
          <w:i/>
        </w:rPr>
        <w:t xml:space="preserve">Course Coordinator: Dr. K. </w:t>
      </w:r>
      <w:proofErr w:type="spellStart"/>
      <w:r w:rsidRPr="007349AD">
        <w:rPr>
          <w:i/>
        </w:rPr>
        <w:t>Swanthana</w:t>
      </w:r>
      <w:proofErr w:type="spellEnd"/>
    </w:p>
    <w:p w14:paraId="383DDC0E" w14:textId="7D4626D7" w:rsidR="007349AD" w:rsidRPr="007349AD" w:rsidRDefault="007349AD" w:rsidP="007349AD">
      <w:pPr>
        <w:jc w:val="center"/>
        <w:rPr>
          <w:i/>
          <w:lang w:val="en-IN"/>
        </w:rPr>
      </w:pPr>
      <w:r w:rsidRPr="007349AD">
        <w:rPr>
          <w:i/>
        </w:rPr>
        <w:t>Course Code: 24ALT3101</w:t>
      </w:r>
    </w:p>
    <w:tbl>
      <w:tblPr>
        <w:tblStyle w:val="TableGrid"/>
        <w:tblW w:w="0" w:type="auto"/>
        <w:tblLook w:val="04A0" w:firstRow="1" w:lastRow="0" w:firstColumn="1" w:lastColumn="0" w:noHBand="0" w:noVBand="1"/>
      </w:tblPr>
      <w:tblGrid>
        <w:gridCol w:w="4428"/>
        <w:gridCol w:w="4428"/>
      </w:tblGrid>
      <w:tr w:rsidR="007349AD" w:rsidRPr="003574E8" w14:paraId="25AA8370" w14:textId="77777777" w:rsidTr="00326D47">
        <w:tc>
          <w:tcPr>
            <w:tcW w:w="4428" w:type="dxa"/>
          </w:tcPr>
          <w:p w14:paraId="20F1C2FF" w14:textId="77777777" w:rsidR="007349AD" w:rsidRPr="003574E8" w:rsidRDefault="007349AD" w:rsidP="00326D47">
            <w:r w:rsidRPr="003574E8">
              <w:t xml:space="preserve">G. Surya </w:t>
            </w:r>
          </w:p>
        </w:tc>
        <w:tc>
          <w:tcPr>
            <w:tcW w:w="4428" w:type="dxa"/>
          </w:tcPr>
          <w:p w14:paraId="75D2739F" w14:textId="77777777" w:rsidR="007349AD" w:rsidRPr="003574E8" w:rsidRDefault="007349AD" w:rsidP="00326D47">
            <w:r w:rsidRPr="003574E8">
              <w:t xml:space="preserve"> 2420090102</w:t>
            </w:r>
          </w:p>
        </w:tc>
      </w:tr>
      <w:tr w:rsidR="007349AD" w:rsidRPr="003574E8" w14:paraId="0BD444A6" w14:textId="77777777" w:rsidTr="00326D47">
        <w:tc>
          <w:tcPr>
            <w:tcW w:w="4428" w:type="dxa"/>
          </w:tcPr>
          <w:p w14:paraId="19813017" w14:textId="77777777" w:rsidR="007349AD" w:rsidRPr="003574E8" w:rsidRDefault="007349AD" w:rsidP="00326D47">
            <w:r w:rsidRPr="003574E8">
              <w:t xml:space="preserve"> Ch. Siddhartha </w:t>
            </w:r>
          </w:p>
        </w:tc>
        <w:tc>
          <w:tcPr>
            <w:tcW w:w="4428" w:type="dxa"/>
          </w:tcPr>
          <w:p w14:paraId="0C1E9203" w14:textId="77777777" w:rsidR="007349AD" w:rsidRPr="003574E8" w:rsidRDefault="007349AD" w:rsidP="00326D47">
            <w:r w:rsidRPr="003574E8">
              <w:t xml:space="preserve"> 2420090015</w:t>
            </w:r>
          </w:p>
        </w:tc>
      </w:tr>
      <w:tr w:rsidR="007349AD" w:rsidRPr="003574E8" w14:paraId="1EAA6CC7" w14:textId="77777777" w:rsidTr="00326D47">
        <w:tc>
          <w:tcPr>
            <w:tcW w:w="4428" w:type="dxa"/>
          </w:tcPr>
          <w:p w14:paraId="695A59B0" w14:textId="77777777" w:rsidR="007349AD" w:rsidRPr="003574E8" w:rsidRDefault="007349AD" w:rsidP="00326D47">
            <w:r w:rsidRPr="003574E8">
              <w:t xml:space="preserve"> Y.V. Likhith </w:t>
            </w:r>
          </w:p>
        </w:tc>
        <w:tc>
          <w:tcPr>
            <w:tcW w:w="4428" w:type="dxa"/>
          </w:tcPr>
          <w:p w14:paraId="4A2F966B" w14:textId="77777777" w:rsidR="007349AD" w:rsidRPr="003574E8" w:rsidRDefault="007349AD" w:rsidP="00326D47">
            <w:r w:rsidRPr="003574E8">
              <w:t xml:space="preserve"> 2420090142</w:t>
            </w:r>
          </w:p>
        </w:tc>
      </w:tr>
      <w:tr w:rsidR="007349AD" w:rsidRPr="003574E8" w14:paraId="5C0FBFCD" w14:textId="77777777" w:rsidTr="00326D47">
        <w:tc>
          <w:tcPr>
            <w:tcW w:w="4428" w:type="dxa"/>
          </w:tcPr>
          <w:p w14:paraId="0B1BC2F9" w14:textId="77777777" w:rsidR="007349AD" w:rsidRPr="003574E8" w:rsidRDefault="007349AD" w:rsidP="00326D47">
            <w:r w:rsidRPr="003574E8">
              <w:t xml:space="preserve"> K. </w:t>
            </w:r>
            <w:proofErr w:type="spellStart"/>
            <w:r w:rsidRPr="003574E8">
              <w:t>Rishiwan</w:t>
            </w:r>
            <w:proofErr w:type="spellEnd"/>
            <w:r w:rsidRPr="003574E8">
              <w:t xml:space="preserve"> </w:t>
            </w:r>
          </w:p>
        </w:tc>
        <w:tc>
          <w:tcPr>
            <w:tcW w:w="4428" w:type="dxa"/>
          </w:tcPr>
          <w:p w14:paraId="4313722B" w14:textId="77777777" w:rsidR="007349AD" w:rsidRPr="003574E8" w:rsidRDefault="007349AD" w:rsidP="00326D47">
            <w:r w:rsidRPr="003574E8">
              <w:t xml:space="preserve"> 2420030762</w:t>
            </w:r>
          </w:p>
        </w:tc>
      </w:tr>
      <w:tr w:rsidR="007349AD" w:rsidRPr="003574E8" w14:paraId="47A532E3" w14:textId="77777777" w:rsidTr="00326D47">
        <w:tc>
          <w:tcPr>
            <w:tcW w:w="4428" w:type="dxa"/>
          </w:tcPr>
          <w:p w14:paraId="633DEFB1" w14:textId="3B862C40" w:rsidR="007349AD" w:rsidRPr="003574E8" w:rsidRDefault="007349AD" w:rsidP="00326D47">
            <w:r w:rsidRPr="003574E8">
              <w:t xml:space="preserve"> </w:t>
            </w:r>
            <w:r>
              <w:t xml:space="preserve">R. Sai </w:t>
            </w:r>
            <w:proofErr w:type="spellStart"/>
            <w:r w:rsidRPr="003574E8">
              <w:t>Sidhardh</w:t>
            </w:r>
            <w:proofErr w:type="spellEnd"/>
            <w:r w:rsidRPr="003574E8">
              <w:t xml:space="preserve"> </w:t>
            </w:r>
          </w:p>
        </w:tc>
        <w:tc>
          <w:tcPr>
            <w:tcW w:w="4428" w:type="dxa"/>
          </w:tcPr>
          <w:p w14:paraId="5A21396F" w14:textId="6CDC64EB" w:rsidR="007349AD" w:rsidRPr="003574E8" w:rsidRDefault="007349AD" w:rsidP="00326D47">
            <w:r w:rsidRPr="003574E8">
              <w:t xml:space="preserve"> </w:t>
            </w:r>
            <w:r>
              <w:t>2400032486</w:t>
            </w:r>
          </w:p>
        </w:tc>
      </w:tr>
    </w:tbl>
    <w:p w14:paraId="39663450" w14:textId="77777777" w:rsidR="007349AD" w:rsidRPr="007349AD" w:rsidRDefault="007349AD" w:rsidP="007349AD">
      <w:pPr>
        <w:jc w:val="center"/>
        <w:rPr>
          <w:rFonts w:hint="eastAsia"/>
          <w:iCs/>
        </w:rPr>
      </w:pPr>
    </w:p>
    <w:p w14:paraId="4ED1D338" w14:textId="77777777" w:rsidR="004907FB" w:rsidRDefault="00000000">
      <w:pPr>
        <w:pStyle w:val="Heading1"/>
      </w:pPr>
      <w:r>
        <w:t>1. Project Context</w:t>
      </w:r>
    </w:p>
    <w:p w14:paraId="62A0DD9D" w14:textId="77777777" w:rsidR="004907FB" w:rsidRDefault="00000000">
      <w:pPr>
        <w:rPr>
          <w:rFonts w:hint="eastAsia"/>
        </w:rPr>
      </w:pPr>
      <w:r>
        <w:t>Review-1 established a measured baseline for the project using TF-IDF, chi-square feature selection and Linear SVM on 1,445 English-language records from Technology, Business and Politics. The reported held-out test result was 80.28% accuracy and 79.80% weighted F1-score. Review-2 changes the proposed direction so that the project does not simply reproduce one of the established model pipelines discussed in the literature.</w:t>
      </w:r>
    </w:p>
    <w:p w14:paraId="5062BACF" w14:textId="77777777" w:rsidR="004907FB" w:rsidRDefault="00000000">
      <w:pPr>
        <w:rPr>
          <w:rFonts w:hint="eastAsia"/>
        </w:rPr>
      </w:pPr>
      <w:r>
        <w:t>The proposed Review-2 direction is the Adaptive News Fingerprint Engine (ANFE). ANFE combines lexical, entity/domain, structural and source/category evidence, uses adaptive evidence scoring, and introduces an explicit REVIEW state for weak or conflicting evidence. The individual components are not claimed to be newly invented algorithms; the intended contribution is their project-specific integration and evaluation.</w:t>
      </w:r>
    </w:p>
    <w:p w14:paraId="76A56AD1" w14:textId="77777777" w:rsidR="004907FB" w:rsidRDefault="00000000">
      <w:pPr>
        <w:pStyle w:val="Heading1"/>
      </w:pPr>
      <w:r>
        <w:t>2. Comparison Criteria</w:t>
      </w:r>
    </w:p>
    <w:p w14:paraId="42FFC90A" w14:textId="77777777" w:rsidR="004907FB" w:rsidRDefault="00000000">
      <w:pPr>
        <w:pStyle w:val="ListBullet"/>
        <w:rPr>
          <w:rFonts w:hint="eastAsia"/>
        </w:rPr>
      </w:pPr>
      <w:r>
        <w:t>Problem/task addressed</w:t>
      </w:r>
    </w:p>
    <w:p w14:paraId="69D05AE0" w14:textId="77777777" w:rsidR="004907FB" w:rsidRDefault="00000000">
      <w:pPr>
        <w:pStyle w:val="ListBullet"/>
        <w:rPr>
          <w:rFonts w:hint="eastAsia"/>
        </w:rPr>
      </w:pPr>
      <w:r>
        <w:t>Main representation or model</w:t>
      </w:r>
    </w:p>
    <w:p w14:paraId="793B1FD5" w14:textId="77777777" w:rsidR="004907FB" w:rsidRDefault="00000000">
      <w:pPr>
        <w:pStyle w:val="ListBullet"/>
        <w:rPr>
          <w:rFonts w:hint="eastAsia"/>
        </w:rPr>
      </w:pPr>
      <w:r>
        <w:t>Multilingual / cross-lingual capability</w:t>
      </w:r>
    </w:p>
    <w:p w14:paraId="6C413420" w14:textId="77777777" w:rsidR="004907FB" w:rsidRDefault="00000000">
      <w:pPr>
        <w:pStyle w:val="ListBullet"/>
        <w:rPr>
          <w:rFonts w:hint="eastAsia"/>
        </w:rPr>
      </w:pPr>
      <w:r>
        <w:t>Interpretability or visible evidence</w:t>
      </w:r>
    </w:p>
    <w:p w14:paraId="1C79924F" w14:textId="77777777" w:rsidR="004907FB" w:rsidRDefault="00000000">
      <w:pPr>
        <w:pStyle w:val="ListBullet"/>
        <w:rPr>
          <w:rFonts w:hint="eastAsia"/>
        </w:rPr>
      </w:pPr>
      <w:r>
        <w:t>Uncertainty / abstention handling</w:t>
      </w:r>
    </w:p>
    <w:p w14:paraId="7EEE9CB7" w14:textId="77777777" w:rsidR="004907FB" w:rsidRDefault="00000000">
      <w:pPr>
        <w:pStyle w:val="ListBullet"/>
        <w:rPr>
          <w:rFonts w:hint="eastAsia"/>
        </w:rPr>
      </w:pPr>
      <w:r>
        <w:t>Computational or implementation characteristics</w:t>
      </w:r>
    </w:p>
    <w:p w14:paraId="22FF0547" w14:textId="77777777" w:rsidR="004907FB" w:rsidRDefault="00000000">
      <w:pPr>
        <w:pStyle w:val="ListBullet"/>
        <w:rPr>
          <w:rFonts w:hint="eastAsia"/>
        </w:rPr>
      </w:pPr>
      <w:r>
        <w:t>Relevance to our project</w:t>
      </w:r>
    </w:p>
    <w:p w14:paraId="2C7A44BE" w14:textId="77777777" w:rsidR="004907FB" w:rsidRDefault="00000000">
      <w:pPr>
        <w:pStyle w:val="ListBullet"/>
        <w:rPr>
          <w:rFonts w:hint="eastAsia"/>
        </w:rPr>
      </w:pPr>
      <w:r>
        <w:t>Difference from the proposed ANFE workflow</w:t>
      </w:r>
    </w:p>
    <w:p w14:paraId="69ABFF98" w14:textId="77777777" w:rsidR="004907FB" w:rsidRDefault="00000000">
      <w:pPr>
        <w:pStyle w:val="Heading1"/>
      </w:pPr>
      <w:r>
        <w:t>3. Comparative Analysis of 10 Research Papers</w:t>
      </w:r>
    </w:p>
    <w:tbl>
      <w:tblPr>
        <w:tblW w:w="0" w:type="auto"/>
        <w:jc w:val="center"/>
        <w:tblLook w:val="04A0" w:firstRow="1" w:lastRow="0" w:firstColumn="1" w:lastColumn="0" w:noHBand="0" w:noVBand="1"/>
      </w:tblPr>
      <w:tblGrid>
        <w:gridCol w:w="1411"/>
        <w:gridCol w:w="1496"/>
        <w:gridCol w:w="1445"/>
        <w:gridCol w:w="1444"/>
        <w:gridCol w:w="1451"/>
        <w:gridCol w:w="1446"/>
        <w:gridCol w:w="1531"/>
      </w:tblGrid>
      <w:tr w:rsidR="004907FB" w14:paraId="7A485264" w14:textId="77777777">
        <w:trPr>
          <w:jc w:val="center"/>
        </w:trPr>
        <w:tc>
          <w:tcPr>
            <w:tcW w:w="1461" w:type="dxa"/>
            <w:shd w:val="clear" w:color="auto" w:fill="1976D2"/>
            <w:vAlign w:val="center"/>
          </w:tcPr>
          <w:p w14:paraId="06794A81" w14:textId="77777777" w:rsidR="004907FB" w:rsidRDefault="00000000">
            <w:pPr>
              <w:rPr>
                <w:rFonts w:hint="eastAsia"/>
              </w:rPr>
            </w:pPr>
            <w:r>
              <w:rPr>
                <w:b/>
                <w:color w:val="FFFFFF"/>
                <w:sz w:val="15"/>
              </w:rPr>
              <w:t>No.</w:t>
            </w:r>
          </w:p>
        </w:tc>
        <w:tc>
          <w:tcPr>
            <w:tcW w:w="1461" w:type="dxa"/>
            <w:shd w:val="clear" w:color="auto" w:fill="1976D2"/>
            <w:vAlign w:val="center"/>
          </w:tcPr>
          <w:p w14:paraId="762BF9FF" w14:textId="77777777" w:rsidR="004907FB" w:rsidRDefault="00000000">
            <w:pPr>
              <w:rPr>
                <w:rFonts w:hint="eastAsia"/>
              </w:rPr>
            </w:pPr>
            <w:r>
              <w:rPr>
                <w:b/>
                <w:color w:val="FFFFFF"/>
                <w:sz w:val="15"/>
              </w:rPr>
              <w:t>Research paper</w:t>
            </w:r>
          </w:p>
        </w:tc>
        <w:tc>
          <w:tcPr>
            <w:tcW w:w="1461" w:type="dxa"/>
            <w:shd w:val="clear" w:color="auto" w:fill="1976D2"/>
            <w:vAlign w:val="center"/>
          </w:tcPr>
          <w:p w14:paraId="1022A240" w14:textId="77777777" w:rsidR="004907FB" w:rsidRDefault="00000000">
            <w:pPr>
              <w:rPr>
                <w:rFonts w:hint="eastAsia"/>
              </w:rPr>
            </w:pPr>
            <w:r>
              <w:rPr>
                <w:b/>
                <w:color w:val="FFFFFF"/>
                <w:sz w:val="15"/>
              </w:rPr>
              <w:t>Approach</w:t>
            </w:r>
          </w:p>
        </w:tc>
        <w:tc>
          <w:tcPr>
            <w:tcW w:w="1461" w:type="dxa"/>
            <w:shd w:val="clear" w:color="auto" w:fill="1976D2"/>
            <w:vAlign w:val="center"/>
          </w:tcPr>
          <w:p w14:paraId="1BB73969" w14:textId="77777777" w:rsidR="004907FB" w:rsidRDefault="00000000">
            <w:pPr>
              <w:rPr>
                <w:rFonts w:hint="eastAsia"/>
              </w:rPr>
            </w:pPr>
            <w:r>
              <w:rPr>
                <w:b/>
                <w:color w:val="FFFFFF"/>
                <w:sz w:val="15"/>
              </w:rPr>
              <w:t>Main contribution</w:t>
            </w:r>
          </w:p>
        </w:tc>
        <w:tc>
          <w:tcPr>
            <w:tcW w:w="1461" w:type="dxa"/>
            <w:shd w:val="clear" w:color="auto" w:fill="1976D2"/>
            <w:vAlign w:val="center"/>
          </w:tcPr>
          <w:p w14:paraId="5F22218C" w14:textId="77777777" w:rsidR="004907FB" w:rsidRDefault="00000000">
            <w:pPr>
              <w:rPr>
                <w:rFonts w:hint="eastAsia"/>
              </w:rPr>
            </w:pPr>
            <w:r>
              <w:rPr>
                <w:b/>
                <w:color w:val="FFFFFF"/>
                <w:sz w:val="15"/>
              </w:rPr>
              <w:t>Limitation / project gap</w:t>
            </w:r>
          </w:p>
        </w:tc>
        <w:tc>
          <w:tcPr>
            <w:tcW w:w="1461" w:type="dxa"/>
            <w:shd w:val="clear" w:color="auto" w:fill="1976D2"/>
            <w:vAlign w:val="center"/>
          </w:tcPr>
          <w:p w14:paraId="3B6DDEBD" w14:textId="77777777" w:rsidR="004907FB" w:rsidRDefault="00000000">
            <w:pPr>
              <w:rPr>
                <w:rFonts w:hint="eastAsia"/>
              </w:rPr>
            </w:pPr>
            <w:r>
              <w:rPr>
                <w:b/>
                <w:color w:val="FFFFFF"/>
                <w:sz w:val="15"/>
              </w:rPr>
              <w:t>Relevance</w:t>
            </w:r>
          </w:p>
        </w:tc>
        <w:tc>
          <w:tcPr>
            <w:tcW w:w="1461" w:type="dxa"/>
            <w:shd w:val="clear" w:color="auto" w:fill="1976D2"/>
            <w:vAlign w:val="center"/>
          </w:tcPr>
          <w:p w14:paraId="0106BB33" w14:textId="77777777" w:rsidR="004907FB" w:rsidRDefault="00000000">
            <w:pPr>
              <w:rPr>
                <w:rFonts w:hint="eastAsia"/>
              </w:rPr>
            </w:pPr>
            <w:r>
              <w:rPr>
                <w:b/>
                <w:color w:val="FFFFFF"/>
                <w:sz w:val="15"/>
              </w:rPr>
              <w:t>Difference from ANFE</w:t>
            </w:r>
          </w:p>
        </w:tc>
      </w:tr>
      <w:tr w:rsidR="004907FB" w14:paraId="21654D1D" w14:textId="77777777">
        <w:trPr>
          <w:jc w:val="center"/>
        </w:trPr>
        <w:tc>
          <w:tcPr>
            <w:tcW w:w="1461" w:type="dxa"/>
            <w:shd w:val="clear" w:color="auto" w:fill="F3F8FD"/>
            <w:vAlign w:val="center"/>
          </w:tcPr>
          <w:p w14:paraId="438DAF61" w14:textId="77777777" w:rsidR="004907FB" w:rsidRDefault="00000000">
            <w:pPr>
              <w:rPr>
                <w:rFonts w:hint="eastAsia"/>
              </w:rPr>
            </w:pPr>
            <w:r>
              <w:rPr>
                <w:color w:val="232D3C"/>
                <w:sz w:val="14"/>
              </w:rPr>
              <w:lastRenderedPageBreak/>
              <w:t>1</w:t>
            </w:r>
          </w:p>
        </w:tc>
        <w:tc>
          <w:tcPr>
            <w:tcW w:w="1461" w:type="dxa"/>
            <w:shd w:val="clear" w:color="auto" w:fill="F3F8FD"/>
            <w:vAlign w:val="center"/>
          </w:tcPr>
          <w:p w14:paraId="2D8DF495" w14:textId="77777777" w:rsidR="004907FB" w:rsidRDefault="00000000">
            <w:pPr>
              <w:rPr>
                <w:rFonts w:hint="eastAsia"/>
              </w:rPr>
            </w:pPr>
            <w:r>
              <w:rPr>
                <w:color w:val="232D3C"/>
                <w:sz w:val="14"/>
              </w:rPr>
              <w:t>Character-level Convolutional Networks for Text Classification</w:t>
            </w:r>
            <w:r>
              <w:rPr>
                <w:color w:val="232D3C"/>
                <w:sz w:val="14"/>
              </w:rPr>
              <w:br/>
              <w:t>Zhang, Zhao &amp; LeCun, 2015</w:t>
            </w:r>
          </w:p>
        </w:tc>
        <w:tc>
          <w:tcPr>
            <w:tcW w:w="1461" w:type="dxa"/>
            <w:shd w:val="clear" w:color="auto" w:fill="F3F8FD"/>
            <w:vAlign w:val="center"/>
          </w:tcPr>
          <w:p w14:paraId="39ECB186" w14:textId="77777777" w:rsidR="004907FB" w:rsidRDefault="00000000">
            <w:pPr>
              <w:rPr>
                <w:rFonts w:hint="eastAsia"/>
              </w:rPr>
            </w:pPr>
            <w:r>
              <w:rPr>
                <w:color w:val="232D3C"/>
                <w:sz w:val="14"/>
              </w:rPr>
              <w:t>Character-level ConvNets; compared with BoW, n-grams, TF-IDF variants and other neural models.</w:t>
            </w:r>
          </w:p>
        </w:tc>
        <w:tc>
          <w:tcPr>
            <w:tcW w:w="1461" w:type="dxa"/>
            <w:shd w:val="clear" w:color="auto" w:fill="F3F8FD"/>
            <w:vAlign w:val="center"/>
          </w:tcPr>
          <w:p w14:paraId="486340C3" w14:textId="77777777" w:rsidR="004907FB" w:rsidRDefault="00000000">
            <w:pPr>
              <w:rPr>
                <w:rFonts w:hint="eastAsia"/>
              </w:rPr>
            </w:pPr>
            <w:r>
              <w:rPr>
                <w:color w:val="232D3C"/>
                <w:sz w:val="14"/>
              </w:rPr>
              <w:t>Shows character-level convolutional models can be competitive for large-scale text classification.</w:t>
            </w:r>
          </w:p>
        </w:tc>
        <w:tc>
          <w:tcPr>
            <w:tcW w:w="1461" w:type="dxa"/>
            <w:shd w:val="clear" w:color="auto" w:fill="F3F8FD"/>
            <w:vAlign w:val="center"/>
          </w:tcPr>
          <w:p w14:paraId="22B865F0" w14:textId="77777777" w:rsidR="004907FB" w:rsidRDefault="00000000">
            <w:pPr>
              <w:rPr>
                <w:rFonts w:hint="eastAsia"/>
              </w:rPr>
            </w:pPr>
            <w:r>
              <w:rPr>
                <w:color w:val="232D3C"/>
                <w:sz w:val="14"/>
              </w:rPr>
              <w:t>Neural model-centered approach; not designed around explicit evidence aggregation or ACCEPT/REVIEW decisions.</w:t>
            </w:r>
          </w:p>
        </w:tc>
        <w:tc>
          <w:tcPr>
            <w:tcW w:w="1461" w:type="dxa"/>
            <w:shd w:val="clear" w:color="auto" w:fill="F3F8FD"/>
            <w:vAlign w:val="center"/>
          </w:tcPr>
          <w:p w14:paraId="172B6DA6" w14:textId="77777777" w:rsidR="004907FB" w:rsidRDefault="00000000">
            <w:pPr>
              <w:rPr>
                <w:rFonts w:hint="eastAsia"/>
              </w:rPr>
            </w:pPr>
            <w:r>
              <w:rPr>
                <w:color w:val="232D3C"/>
                <w:sz w:val="14"/>
              </w:rPr>
              <w:t>Provides a neural text-classification reference point.</w:t>
            </w:r>
          </w:p>
        </w:tc>
        <w:tc>
          <w:tcPr>
            <w:tcW w:w="1461" w:type="dxa"/>
            <w:shd w:val="clear" w:color="auto" w:fill="F3F8FD"/>
            <w:vAlign w:val="center"/>
          </w:tcPr>
          <w:p w14:paraId="781A3B63" w14:textId="77777777" w:rsidR="004907FB" w:rsidRDefault="00000000">
            <w:pPr>
              <w:rPr>
                <w:rFonts w:hint="eastAsia"/>
              </w:rPr>
            </w:pPr>
            <w:r>
              <w:rPr>
                <w:color w:val="232D3C"/>
                <w:sz w:val="14"/>
              </w:rPr>
              <w:t>ANFE uses evidence fusion and category fingerprints instead of a character CNN as the core decision method.</w:t>
            </w:r>
          </w:p>
        </w:tc>
      </w:tr>
      <w:tr w:rsidR="004907FB" w14:paraId="0D7E8789" w14:textId="77777777">
        <w:trPr>
          <w:jc w:val="center"/>
        </w:trPr>
        <w:tc>
          <w:tcPr>
            <w:tcW w:w="1461" w:type="dxa"/>
            <w:vAlign w:val="center"/>
          </w:tcPr>
          <w:p w14:paraId="464C06A9" w14:textId="77777777" w:rsidR="004907FB" w:rsidRDefault="00000000">
            <w:pPr>
              <w:rPr>
                <w:rFonts w:hint="eastAsia"/>
              </w:rPr>
            </w:pPr>
            <w:r>
              <w:rPr>
                <w:color w:val="232D3C"/>
                <w:sz w:val="14"/>
              </w:rPr>
              <w:t>2</w:t>
            </w:r>
          </w:p>
        </w:tc>
        <w:tc>
          <w:tcPr>
            <w:tcW w:w="1461" w:type="dxa"/>
            <w:vAlign w:val="center"/>
          </w:tcPr>
          <w:p w14:paraId="6DA852EA" w14:textId="77777777" w:rsidR="004907FB" w:rsidRDefault="00000000">
            <w:pPr>
              <w:rPr>
                <w:rFonts w:hint="eastAsia"/>
              </w:rPr>
            </w:pPr>
            <w:r>
              <w:rPr>
                <w:color w:val="232D3C"/>
                <w:sz w:val="14"/>
              </w:rPr>
              <w:t>BERT: Pre-training of Deep Bidirectional Transformers for Language Understanding</w:t>
            </w:r>
            <w:r>
              <w:rPr>
                <w:color w:val="232D3C"/>
                <w:sz w:val="14"/>
              </w:rPr>
              <w:br/>
              <w:t>Devlin, Chang, Lee &amp; Toutanova, 2019</w:t>
            </w:r>
          </w:p>
        </w:tc>
        <w:tc>
          <w:tcPr>
            <w:tcW w:w="1461" w:type="dxa"/>
            <w:vAlign w:val="center"/>
          </w:tcPr>
          <w:p w14:paraId="6D81CCD2" w14:textId="77777777" w:rsidR="004907FB" w:rsidRDefault="00000000">
            <w:pPr>
              <w:rPr>
                <w:rFonts w:hint="eastAsia"/>
              </w:rPr>
            </w:pPr>
            <w:r>
              <w:rPr>
                <w:color w:val="232D3C"/>
                <w:sz w:val="14"/>
              </w:rPr>
              <w:t>Bidirectional Transformer pretrained with masked language modeling and fine-tuned for downstream tasks.</w:t>
            </w:r>
          </w:p>
        </w:tc>
        <w:tc>
          <w:tcPr>
            <w:tcW w:w="1461" w:type="dxa"/>
            <w:vAlign w:val="center"/>
          </w:tcPr>
          <w:p w14:paraId="279B9132" w14:textId="77777777" w:rsidR="004907FB" w:rsidRDefault="00000000">
            <w:pPr>
              <w:rPr>
                <w:rFonts w:hint="eastAsia"/>
              </w:rPr>
            </w:pPr>
            <w:r>
              <w:rPr>
                <w:color w:val="232D3C"/>
                <w:sz w:val="14"/>
              </w:rPr>
              <w:t>Introduced BERT and demonstrated strong transfer performance across NLP tasks.</w:t>
            </w:r>
          </w:p>
        </w:tc>
        <w:tc>
          <w:tcPr>
            <w:tcW w:w="1461" w:type="dxa"/>
            <w:vAlign w:val="center"/>
          </w:tcPr>
          <w:p w14:paraId="161DFD37" w14:textId="77777777" w:rsidR="004907FB" w:rsidRDefault="00000000">
            <w:pPr>
              <w:rPr>
                <w:rFonts w:hint="eastAsia"/>
              </w:rPr>
            </w:pPr>
            <w:r>
              <w:rPr>
                <w:color w:val="232D3C"/>
                <w:sz w:val="14"/>
              </w:rPr>
              <w:t>Pretrained representation plus fine-tuning is the central method, not an explicit evidence-fusion workflow.</w:t>
            </w:r>
          </w:p>
        </w:tc>
        <w:tc>
          <w:tcPr>
            <w:tcW w:w="1461" w:type="dxa"/>
            <w:vAlign w:val="center"/>
          </w:tcPr>
          <w:p w14:paraId="1787D67D" w14:textId="77777777" w:rsidR="004907FB" w:rsidRDefault="00000000">
            <w:pPr>
              <w:rPr>
                <w:rFonts w:hint="eastAsia"/>
              </w:rPr>
            </w:pPr>
            <w:r>
              <w:rPr>
                <w:color w:val="232D3C"/>
                <w:sz w:val="14"/>
              </w:rPr>
              <w:t>Represents a major modern Transformer family for text classification.</w:t>
            </w:r>
          </w:p>
        </w:tc>
        <w:tc>
          <w:tcPr>
            <w:tcW w:w="1461" w:type="dxa"/>
            <w:vAlign w:val="center"/>
          </w:tcPr>
          <w:p w14:paraId="513C3307" w14:textId="77777777" w:rsidR="004907FB" w:rsidRDefault="00000000">
            <w:pPr>
              <w:rPr>
                <w:rFonts w:hint="eastAsia"/>
              </w:rPr>
            </w:pPr>
            <w:r>
              <w:rPr>
                <w:color w:val="232D3C"/>
                <w:sz w:val="14"/>
              </w:rPr>
              <w:t>ANFE is not a BERT fine-tuning pipeline; its proposed decision mechanism uses adaptive evidence scoring.</w:t>
            </w:r>
          </w:p>
        </w:tc>
      </w:tr>
      <w:tr w:rsidR="004907FB" w14:paraId="328F8693" w14:textId="77777777">
        <w:trPr>
          <w:jc w:val="center"/>
        </w:trPr>
        <w:tc>
          <w:tcPr>
            <w:tcW w:w="1461" w:type="dxa"/>
            <w:shd w:val="clear" w:color="auto" w:fill="F3F8FD"/>
            <w:vAlign w:val="center"/>
          </w:tcPr>
          <w:p w14:paraId="4A224D23" w14:textId="77777777" w:rsidR="004907FB" w:rsidRDefault="00000000">
            <w:pPr>
              <w:rPr>
                <w:rFonts w:hint="eastAsia"/>
              </w:rPr>
            </w:pPr>
            <w:r>
              <w:rPr>
                <w:color w:val="232D3C"/>
                <w:sz w:val="14"/>
              </w:rPr>
              <w:t>3</w:t>
            </w:r>
          </w:p>
        </w:tc>
        <w:tc>
          <w:tcPr>
            <w:tcW w:w="1461" w:type="dxa"/>
            <w:shd w:val="clear" w:color="auto" w:fill="F3F8FD"/>
            <w:vAlign w:val="center"/>
          </w:tcPr>
          <w:p w14:paraId="20F624AA" w14:textId="77777777" w:rsidR="004907FB" w:rsidRDefault="00000000">
            <w:pPr>
              <w:rPr>
                <w:rFonts w:hint="eastAsia"/>
              </w:rPr>
            </w:pPr>
            <w:r>
              <w:rPr>
                <w:color w:val="232D3C"/>
                <w:sz w:val="14"/>
              </w:rPr>
              <w:t>How Multilingual is Multilingual BERT?</w:t>
            </w:r>
            <w:r>
              <w:rPr>
                <w:color w:val="232D3C"/>
                <w:sz w:val="14"/>
              </w:rPr>
              <w:br/>
              <w:t>Pires, Schlinger &amp; Garrette, 2019</w:t>
            </w:r>
          </w:p>
        </w:tc>
        <w:tc>
          <w:tcPr>
            <w:tcW w:w="1461" w:type="dxa"/>
            <w:shd w:val="clear" w:color="auto" w:fill="F3F8FD"/>
            <w:vAlign w:val="center"/>
          </w:tcPr>
          <w:p w14:paraId="1DE94548" w14:textId="77777777" w:rsidR="004907FB" w:rsidRDefault="00000000">
            <w:pPr>
              <w:rPr>
                <w:rFonts w:hint="eastAsia"/>
              </w:rPr>
            </w:pPr>
            <w:r>
              <w:rPr>
                <w:color w:val="232D3C"/>
                <w:sz w:val="14"/>
              </w:rPr>
              <w:t>Probing and zero-shot cross-lingual transfer analysis of multilingual BERT.</w:t>
            </w:r>
          </w:p>
        </w:tc>
        <w:tc>
          <w:tcPr>
            <w:tcW w:w="1461" w:type="dxa"/>
            <w:shd w:val="clear" w:color="auto" w:fill="F3F8FD"/>
            <w:vAlign w:val="center"/>
          </w:tcPr>
          <w:p w14:paraId="1913A57D" w14:textId="77777777" w:rsidR="004907FB" w:rsidRDefault="00000000">
            <w:pPr>
              <w:rPr>
                <w:rFonts w:hint="eastAsia"/>
              </w:rPr>
            </w:pPr>
            <w:r>
              <w:rPr>
                <w:color w:val="232D3C"/>
                <w:sz w:val="14"/>
              </w:rPr>
              <w:t>Demonstrates multilingual transfer while identifying differences across language pairs.</w:t>
            </w:r>
          </w:p>
        </w:tc>
        <w:tc>
          <w:tcPr>
            <w:tcW w:w="1461" w:type="dxa"/>
            <w:shd w:val="clear" w:color="auto" w:fill="F3F8FD"/>
            <w:vAlign w:val="center"/>
          </w:tcPr>
          <w:p w14:paraId="21C06715" w14:textId="77777777" w:rsidR="004907FB" w:rsidRDefault="00000000">
            <w:pPr>
              <w:rPr>
                <w:rFonts w:hint="eastAsia"/>
              </w:rPr>
            </w:pPr>
            <w:r>
              <w:rPr>
                <w:color w:val="232D3C"/>
                <w:sz w:val="14"/>
              </w:rPr>
              <w:t>Focuses on mBERT transfer and representations rather than interpretable topic-decision workflow.</w:t>
            </w:r>
          </w:p>
        </w:tc>
        <w:tc>
          <w:tcPr>
            <w:tcW w:w="1461" w:type="dxa"/>
            <w:shd w:val="clear" w:color="auto" w:fill="F3F8FD"/>
            <w:vAlign w:val="center"/>
          </w:tcPr>
          <w:p w14:paraId="6D3F4CB8" w14:textId="77777777" w:rsidR="004907FB" w:rsidRDefault="00000000">
            <w:pPr>
              <w:rPr>
                <w:rFonts w:hint="eastAsia"/>
              </w:rPr>
            </w:pPr>
            <w:r>
              <w:rPr>
                <w:color w:val="232D3C"/>
                <w:sz w:val="14"/>
              </w:rPr>
              <w:t>Important background for the project's original multilingual direction.</w:t>
            </w:r>
          </w:p>
        </w:tc>
        <w:tc>
          <w:tcPr>
            <w:tcW w:w="1461" w:type="dxa"/>
            <w:shd w:val="clear" w:color="auto" w:fill="F3F8FD"/>
            <w:vAlign w:val="center"/>
          </w:tcPr>
          <w:p w14:paraId="306F229C" w14:textId="77777777" w:rsidR="004907FB" w:rsidRDefault="00000000">
            <w:pPr>
              <w:rPr>
                <w:rFonts w:hint="eastAsia"/>
              </w:rPr>
            </w:pPr>
            <w:r>
              <w:rPr>
                <w:color w:val="232D3C"/>
                <w:sz w:val="14"/>
              </w:rPr>
              <w:t>ANFE currently emphasizes evidence fusion; multilingual effectiveness remains future experimental work.</w:t>
            </w:r>
          </w:p>
        </w:tc>
      </w:tr>
      <w:tr w:rsidR="004907FB" w14:paraId="2AB1BC6B" w14:textId="77777777">
        <w:trPr>
          <w:jc w:val="center"/>
        </w:trPr>
        <w:tc>
          <w:tcPr>
            <w:tcW w:w="1461" w:type="dxa"/>
            <w:vAlign w:val="center"/>
          </w:tcPr>
          <w:p w14:paraId="472A8F51" w14:textId="77777777" w:rsidR="004907FB" w:rsidRDefault="00000000">
            <w:pPr>
              <w:rPr>
                <w:rFonts w:hint="eastAsia"/>
              </w:rPr>
            </w:pPr>
            <w:r>
              <w:rPr>
                <w:color w:val="232D3C"/>
                <w:sz w:val="14"/>
              </w:rPr>
              <w:t>4</w:t>
            </w:r>
          </w:p>
        </w:tc>
        <w:tc>
          <w:tcPr>
            <w:tcW w:w="1461" w:type="dxa"/>
            <w:vAlign w:val="center"/>
          </w:tcPr>
          <w:p w14:paraId="46C8EF11" w14:textId="77777777" w:rsidR="004907FB" w:rsidRDefault="00000000">
            <w:pPr>
              <w:rPr>
                <w:rFonts w:hint="eastAsia"/>
              </w:rPr>
            </w:pPr>
            <w:r>
              <w:rPr>
                <w:color w:val="232D3C"/>
                <w:sz w:val="14"/>
              </w:rPr>
              <w:t>Unsupervised Cross-lingual Representation Learning at Scale</w:t>
            </w:r>
            <w:r>
              <w:rPr>
                <w:color w:val="232D3C"/>
                <w:sz w:val="14"/>
              </w:rPr>
              <w:br/>
              <w:t>Conneau et al., 2020</w:t>
            </w:r>
          </w:p>
        </w:tc>
        <w:tc>
          <w:tcPr>
            <w:tcW w:w="1461" w:type="dxa"/>
            <w:vAlign w:val="center"/>
          </w:tcPr>
          <w:p w14:paraId="25883472" w14:textId="77777777" w:rsidR="004907FB" w:rsidRDefault="00000000">
            <w:pPr>
              <w:rPr>
                <w:rFonts w:hint="eastAsia"/>
              </w:rPr>
            </w:pPr>
            <w:r>
              <w:rPr>
                <w:color w:val="232D3C"/>
                <w:sz w:val="14"/>
              </w:rPr>
              <w:t>XLM-R: multilingual masked-language-model pretraining on large-scale CommonCrawl data.</w:t>
            </w:r>
          </w:p>
        </w:tc>
        <w:tc>
          <w:tcPr>
            <w:tcW w:w="1461" w:type="dxa"/>
            <w:vAlign w:val="center"/>
          </w:tcPr>
          <w:p w14:paraId="7550C803" w14:textId="77777777" w:rsidR="004907FB" w:rsidRDefault="00000000">
            <w:pPr>
              <w:rPr>
                <w:rFonts w:hint="eastAsia"/>
              </w:rPr>
            </w:pPr>
            <w:r>
              <w:rPr>
                <w:color w:val="232D3C"/>
                <w:sz w:val="14"/>
              </w:rPr>
              <w:t>Shows strong cross-lingual transfer and improved benchmark performance over mBERT on several tasks.</w:t>
            </w:r>
          </w:p>
        </w:tc>
        <w:tc>
          <w:tcPr>
            <w:tcW w:w="1461" w:type="dxa"/>
            <w:vAlign w:val="center"/>
          </w:tcPr>
          <w:p w14:paraId="371609AF" w14:textId="77777777" w:rsidR="004907FB" w:rsidRDefault="00000000">
            <w:pPr>
              <w:rPr>
                <w:rFonts w:hint="eastAsia"/>
              </w:rPr>
            </w:pPr>
            <w:r>
              <w:rPr>
                <w:color w:val="232D3C"/>
                <w:sz w:val="14"/>
              </w:rPr>
              <w:t>Large pretrained-model approach; does not define the proposed evidence-fusion and REVIEW workflow.</w:t>
            </w:r>
          </w:p>
        </w:tc>
        <w:tc>
          <w:tcPr>
            <w:tcW w:w="1461" w:type="dxa"/>
            <w:vAlign w:val="center"/>
          </w:tcPr>
          <w:p w14:paraId="637E5C4F" w14:textId="77777777" w:rsidR="004907FB" w:rsidRDefault="00000000">
            <w:pPr>
              <w:rPr>
                <w:rFonts w:hint="eastAsia"/>
              </w:rPr>
            </w:pPr>
            <w:r>
              <w:rPr>
                <w:color w:val="232D3C"/>
                <w:sz w:val="14"/>
              </w:rPr>
              <w:t>Directly relevant because XLM-R was part of the earlier project extension plan.</w:t>
            </w:r>
          </w:p>
        </w:tc>
        <w:tc>
          <w:tcPr>
            <w:tcW w:w="1461" w:type="dxa"/>
            <w:vAlign w:val="center"/>
          </w:tcPr>
          <w:p w14:paraId="01A82575" w14:textId="77777777" w:rsidR="004907FB" w:rsidRDefault="00000000">
            <w:pPr>
              <w:rPr>
                <w:rFonts w:hint="eastAsia"/>
              </w:rPr>
            </w:pPr>
            <w:r>
              <w:rPr>
                <w:color w:val="232D3C"/>
                <w:sz w:val="14"/>
              </w:rPr>
              <w:t>ANFE deliberately does not make XLM-R the core Review-2 method.</w:t>
            </w:r>
          </w:p>
        </w:tc>
      </w:tr>
      <w:tr w:rsidR="004907FB" w14:paraId="14E37D1C" w14:textId="77777777">
        <w:trPr>
          <w:jc w:val="center"/>
        </w:trPr>
        <w:tc>
          <w:tcPr>
            <w:tcW w:w="1461" w:type="dxa"/>
            <w:shd w:val="clear" w:color="auto" w:fill="F3F8FD"/>
            <w:vAlign w:val="center"/>
          </w:tcPr>
          <w:p w14:paraId="7F961036" w14:textId="77777777" w:rsidR="004907FB" w:rsidRDefault="00000000">
            <w:pPr>
              <w:rPr>
                <w:rFonts w:hint="eastAsia"/>
              </w:rPr>
            </w:pPr>
            <w:r>
              <w:rPr>
                <w:color w:val="232D3C"/>
                <w:sz w:val="14"/>
              </w:rPr>
              <w:t>5</w:t>
            </w:r>
          </w:p>
        </w:tc>
        <w:tc>
          <w:tcPr>
            <w:tcW w:w="1461" w:type="dxa"/>
            <w:shd w:val="clear" w:color="auto" w:fill="F3F8FD"/>
            <w:vAlign w:val="center"/>
          </w:tcPr>
          <w:p w14:paraId="3AF8EDED" w14:textId="77777777" w:rsidR="004907FB" w:rsidRDefault="00000000">
            <w:pPr>
              <w:rPr>
                <w:rFonts w:hint="eastAsia"/>
              </w:rPr>
            </w:pPr>
            <w:r>
              <w:rPr>
                <w:color w:val="232D3C"/>
                <w:sz w:val="14"/>
              </w:rPr>
              <w:t>ClassBases at the CASE-2022 Multilingual Protest Event Detection Task</w:t>
            </w:r>
            <w:r>
              <w:rPr>
                <w:color w:val="232D3C"/>
                <w:sz w:val="14"/>
              </w:rPr>
              <w:br/>
              <w:t>Wiriyathammabhum, 2022</w:t>
            </w:r>
          </w:p>
        </w:tc>
        <w:tc>
          <w:tcPr>
            <w:tcW w:w="1461" w:type="dxa"/>
            <w:shd w:val="clear" w:color="auto" w:fill="F3F8FD"/>
            <w:vAlign w:val="center"/>
          </w:tcPr>
          <w:p w14:paraId="7ACC7A88" w14:textId="77777777" w:rsidR="004907FB" w:rsidRDefault="00000000">
            <w:pPr>
              <w:rPr>
                <w:rFonts w:hint="eastAsia"/>
              </w:rPr>
            </w:pPr>
            <w:r>
              <w:rPr>
                <w:color w:val="232D3C"/>
                <w:sz w:val="14"/>
              </w:rPr>
              <w:t>XLM-RoBERTa, mLUKE and related multilingual models for document, sentence and token classification.</w:t>
            </w:r>
          </w:p>
        </w:tc>
        <w:tc>
          <w:tcPr>
            <w:tcW w:w="1461" w:type="dxa"/>
            <w:shd w:val="clear" w:color="auto" w:fill="F3F8FD"/>
            <w:vAlign w:val="center"/>
          </w:tcPr>
          <w:p w14:paraId="1185A0A8" w14:textId="77777777" w:rsidR="004907FB" w:rsidRDefault="00000000">
            <w:pPr>
              <w:rPr>
                <w:rFonts w:hint="eastAsia"/>
              </w:rPr>
            </w:pPr>
            <w:r>
              <w:rPr>
                <w:color w:val="232D3C"/>
                <w:sz w:val="14"/>
              </w:rPr>
              <w:t>Explores multilingual protest-news detection; reports benefits from larger models and entity knowledge with added cost.</w:t>
            </w:r>
          </w:p>
        </w:tc>
        <w:tc>
          <w:tcPr>
            <w:tcW w:w="1461" w:type="dxa"/>
            <w:shd w:val="clear" w:color="auto" w:fill="F3F8FD"/>
            <w:vAlign w:val="center"/>
          </w:tcPr>
          <w:p w14:paraId="4E70FA36" w14:textId="77777777" w:rsidR="004907FB" w:rsidRDefault="00000000">
            <w:pPr>
              <w:rPr>
                <w:rFonts w:hint="eastAsia"/>
              </w:rPr>
            </w:pPr>
            <w:r>
              <w:rPr>
                <w:color w:val="232D3C"/>
                <w:sz w:val="14"/>
              </w:rPr>
              <w:t>Targets protest-event detection rather than general three-class news categorization.</w:t>
            </w:r>
          </w:p>
        </w:tc>
        <w:tc>
          <w:tcPr>
            <w:tcW w:w="1461" w:type="dxa"/>
            <w:shd w:val="clear" w:color="auto" w:fill="F3F8FD"/>
            <w:vAlign w:val="center"/>
          </w:tcPr>
          <w:p w14:paraId="5F3BD7C3" w14:textId="77777777" w:rsidR="004907FB" w:rsidRDefault="00000000">
            <w:pPr>
              <w:rPr>
                <w:rFonts w:hint="eastAsia"/>
              </w:rPr>
            </w:pPr>
            <w:r>
              <w:rPr>
                <w:color w:val="232D3C"/>
                <w:sz w:val="14"/>
              </w:rPr>
              <w:t>Shows the value of multilingual models and entity information in news-related tasks.</w:t>
            </w:r>
          </w:p>
        </w:tc>
        <w:tc>
          <w:tcPr>
            <w:tcW w:w="1461" w:type="dxa"/>
            <w:shd w:val="clear" w:color="auto" w:fill="F3F8FD"/>
            <w:vAlign w:val="center"/>
          </w:tcPr>
          <w:p w14:paraId="15D12E22" w14:textId="77777777" w:rsidR="004907FB" w:rsidRDefault="00000000">
            <w:pPr>
              <w:rPr>
                <w:rFonts w:hint="eastAsia"/>
              </w:rPr>
            </w:pPr>
            <w:r>
              <w:rPr>
                <w:color w:val="232D3C"/>
                <w:sz w:val="14"/>
              </w:rPr>
              <w:t>ANFE uses entity/domain evidence as one component of a broader evidence-fusion workflow.</w:t>
            </w:r>
          </w:p>
        </w:tc>
      </w:tr>
      <w:tr w:rsidR="004907FB" w14:paraId="674E434D" w14:textId="77777777">
        <w:trPr>
          <w:jc w:val="center"/>
        </w:trPr>
        <w:tc>
          <w:tcPr>
            <w:tcW w:w="1461" w:type="dxa"/>
            <w:vAlign w:val="center"/>
          </w:tcPr>
          <w:p w14:paraId="76435BD5" w14:textId="77777777" w:rsidR="004907FB" w:rsidRDefault="00000000">
            <w:pPr>
              <w:rPr>
                <w:rFonts w:hint="eastAsia"/>
              </w:rPr>
            </w:pPr>
            <w:r>
              <w:rPr>
                <w:color w:val="232D3C"/>
                <w:sz w:val="14"/>
              </w:rPr>
              <w:t>6</w:t>
            </w:r>
          </w:p>
        </w:tc>
        <w:tc>
          <w:tcPr>
            <w:tcW w:w="1461" w:type="dxa"/>
            <w:vAlign w:val="center"/>
          </w:tcPr>
          <w:p w14:paraId="1126F138" w14:textId="77777777" w:rsidR="004907FB" w:rsidRDefault="00000000">
            <w:pPr>
              <w:rPr>
                <w:rFonts w:hint="eastAsia"/>
              </w:rPr>
            </w:pPr>
            <w:r>
              <w:rPr>
                <w:color w:val="232D3C"/>
                <w:sz w:val="14"/>
              </w:rPr>
              <w:t>SheffieldVeraAI at SemEval-2023 Task 3: Mono and Multilingual Approaches for News Genre, Topic and Persuasion Technique Classification</w:t>
            </w:r>
            <w:r>
              <w:rPr>
                <w:color w:val="232D3C"/>
                <w:sz w:val="14"/>
              </w:rPr>
              <w:br/>
              <w:t>Wu et al., 2023</w:t>
            </w:r>
          </w:p>
        </w:tc>
        <w:tc>
          <w:tcPr>
            <w:tcW w:w="1461" w:type="dxa"/>
            <w:vAlign w:val="center"/>
          </w:tcPr>
          <w:p w14:paraId="1E00A81E" w14:textId="77777777" w:rsidR="004907FB" w:rsidRDefault="00000000">
            <w:pPr>
              <w:rPr>
                <w:rFonts w:hint="eastAsia"/>
              </w:rPr>
            </w:pPr>
            <w:r>
              <w:rPr>
                <w:color w:val="232D3C"/>
                <w:sz w:val="14"/>
              </w:rPr>
              <w:t>Ensembles of mBERT, RoBERTa and XLM-RoBERTa, including adapters and task-adaptive pretraining.</w:t>
            </w:r>
          </w:p>
        </w:tc>
        <w:tc>
          <w:tcPr>
            <w:tcW w:w="1461" w:type="dxa"/>
            <w:vAlign w:val="center"/>
          </w:tcPr>
          <w:p w14:paraId="1A3E5846" w14:textId="77777777" w:rsidR="004907FB" w:rsidRDefault="00000000">
            <w:pPr>
              <w:rPr>
                <w:rFonts w:hint="eastAsia"/>
              </w:rPr>
            </w:pPr>
            <w:r>
              <w:rPr>
                <w:color w:val="232D3C"/>
                <w:sz w:val="14"/>
              </w:rPr>
              <w:t>Demonstrates strong multilingual approaches for news genre, framing and persuasion classification.</w:t>
            </w:r>
          </w:p>
        </w:tc>
        <w:tc>
          <w:tcPr>
            <w:tcW w:w="1461" w:type="dxa"/>
            <w:vAlign w:val="center"/>
          </w:tcPr>
          <w:p w14:paraId="64CD32F2" w14:textId="77777777" w:rsidR="004907FB" w:rsidRDefault="00000000">
            <w:pPr>
              <w:rPr>
                <w:rFonts w:hint="eastAsia"/>
              </w:rPr>
            </w:pPr>
            <w:r>
              <w:rPr>
                <w:color w:val="232D3C"/>
                <w:sz w:val="14"/>
              </w:rPr>
              <w:t>Model ensembles are more architecturally involved than the proposed evidence workflow.</w:t>
            </w:r>
          </w:p>
        </w:tc>
        <w:tc>
          <w:tcPr>
            <w:tcW w:w="1461" w:type="dxa"/>
            <w:vAlign w:val="center"/>
          </w:tcPr>
          <w:p w14:paraId="2F284CA0" w14:textId="77777777" w:rsidR="004907FB" w:rsidRDefault="00000000">
            <w:pPr>
              <w:rPr>
                <w:rFonts w:hint="eastAsia"/>
              </w:rPr>
            </w:pPr>
            <w:r>
              <w:rPr>
                <w:color w:val="232D3C"/>
                <w:sz w:val="14"/>
              </w:rPr>
              <w:t>Directly relevant to multilingual news classification.</w:t>
            </w:r>
          </w:p>
        </w:tc>
        <w:tc>
          <w:tcPr>
            <w:tcW w:w="1461" w:type="dxa"/>
            <w:vAlign w:val="center"/>
          </w:tcPr>
          <w:p w14:paraId="38106061" w14:textId="77777777" w:rsidR="004907FB" w:rsidRDefault="00000000">
            <w:pPr>
              <w:rPr>
                <w:rFonts w:hint="eastAsia"/>
              </w:rPr>
            </w:pPr>
            <w:r>
              <w:rPr>
                <w:color w:val="232D3C"/>
                <w:sz w:val="14"/>
              </w:rPr>
              <w:t>ANFE is designed as a simpler, evidence-oriented workflow rather than a Transformer ensemble.</w:t>
            </w:r>
          </w:p>
        </w:tc>
      </w:tr>
      <w:tr w:rsidR="004907FB" w14:paraId="7C8A3CA2" w14:textId="77777777">
        <w:trPr>
          <w:jc w:val="center"/>
        </w:trPr>
        <w:tc>
          <w:tcPr>
            <w:tcW w:w="1461" w:type="dxa"/>
            <w:shd w:val="clear" w:color="auto" w:fill="F3F8FD"/>
            <w:vAlign w:val="center"/>
          </w:tcPr>
          <w:p w14:paraId="4078C78D" w14:textId="77777777" w:rsidR="004907FB" w:rsidRDefault="00000000">
            <w:pPr>
              <w:rPr>
                <w:rFonts w:hint="eastAsia"/>
              </w:rPr>
            </w:pPr>
            <w:r>
              <w:rPr>
                <w:color w:val="232D3C"/>
                <w:sz w:val="14"/>
              </w:rPr>
              <w:t>7</w:t>
            </w:r>
          </w:p>
        </w:tc>
        <w:tc>
          <w:tcPr>
            <w:tcW w:w="1461" w:type="dxa"/>
            <w:shd w:val="clear" w:color="auto" w:fill="F3F8FD"/>
            <w:vAlign w:val="center"/>
          </w:tcPr>
          <w:p w14:paraId="748C393F" w14:textId="77777777" w:rsidR="004907FB" w:rsidRDefault="00000000">
            <w:pPr>
              <w:rPr>
                <w:rFonts w:hint="eastAsia"/>
              </w:rPr>
            </w:pPr>
            <w:r>
              <w:rPr>
                <w:color w:val="232D3C"/>
                <w:sz w:val="14"/>
              </w:rPr>
              <w:t>L3Cube-IndicNews: News-based Short Text and Long Document Classification Datasets in Indic languages</w:t>
            </w:r>
            <w:r>
              <w:rPr>
                <w:color w:val="232D3C"/>
                <w:sz w:val="14"/>
              </w:rPr>
              <w:br/>
              <w:t>Mirashi et al., 2023</w:t>
            </w:r>
          </w:p>
        </w:tc>
        <w:tc>
          <w:tcPr>
            <w:tcW w:w="1461" w:type="dxa"/>
            <w:shd w:val="clear" w:color="auto" w:fill="F3F8FD"/>
            <w:vAlign w:val="center"/>
          </w:tcPr>
          <w:p w14:paraId="427D1B99" w14:textId="77777777" w:rsidR="004907FB" w:rsidRDefault="00000000">
            <w:pPr>
              <w:rPr>
                <w:rFonts w:hint="eastAsia"/>
              </w:rPr>
            </w:pPr>
            <w:r>
              <w:rPr>
                <w:color w:val="232D3C"/>
                <w:sz w:val="14"/>
              </w:rPr>
              <w:t>Multilingual news datasets for 10 Indic languages; evaluates BERT-family and Indic models.</w:t>
            </w:r>
          </w:p>
        </w:tc>
        <w:tc>
          <w:tcPr>
            <w:tcW w:w="1461" w:type="dxa"/>
            <w:shd w:val="clear" w:color="auto" w:fill="F3F8FD"/>
            <w:vAlign w:val="center"/>
          </w:tcPr>
          <w:p w14:paraId="5498A435" w14:textId="77777777" w:rsidR="004907FB" w:rsidRDefault="00000000">
            <w:pPr>
              <w:rPr>
                <w:rFonts w:hint="eastAsia"/>
              </w:rPr>
            </w:pPr>
            <w:r>
              <w:rPr>
                <w:color w:val="232D3C"/>
                <w:sz w:val="14"/>
              </w:rPr>
              <w:t>Provides short-headline, long-document and long-paragraph datasets with consistent labels.</w:t>
            </w:r>
          </w:p>
        </w:tc>
        <w:tc>
          <w:tcPr>
            <w:tcW w:w="1461" w:type="dxa"/>
            <w:shd w:val="clear" w:color="auto" w:fill="F3F8FD"/>
            <w:vAlign w:val="center"/>
          </w:tcPr>
          <w:p w14:paraId="7EE0671B" w14:textId="77777777" w:rsidR="004907FB" w:rsidRDefault="00000000">
            <w:pPr>
              <w:rPr>
                <w:rFonts w:hint="eastAsia"/>
              </w:rPr>
            </w:pPr>
            <w:r>
              <w:rPr>
                <w:color w:val="232D3C"/>
                <w:sz w:val="14"/>
              </w:rPr>
              <w:t>Primarily a dataset and model-evaluation resource, not the same task setup as the current English three-class project.</w:t>
            </w:r>
          </w:p>
        </w:tc>
        <w:tc>
          <w:tcPr>
            <w:tcW w:w="1461" w:type="dxa"/>
            <w:shd w:val="clear" w:color="auto" w:fill="F3F8FD"/>
            <w:vAlign w:val="center"/>
          </w:tcPr>
          <w:p w14:paraId="01E07F8F" w14:textId="77777777" w:rsidR="004907FB" w:rsidRDefault="00000000">
            <w:pPr>
              <w:rPr>
                <w:rFonts w:hint="eastAsia"/>
              </w:rPr>
            </w:pPr>
            <w:r>
              <w:rPr>
                <w:color w:val="232D3C"/>
                <w:sz w:val="14"/>
              </w:rPr>
              <w:t>Highly relevant to future Telugu/Hindi and other Indic-language experiments.</w:t>
            </w:r>
          </w:p>
        </w:tc>
        <w:tc>
          <w:tcPr>
            <w:tcW w:w="1461" w:type="dxa"/>
            <w:shd w:val="clear" w:color="auto" w:fill="F3F8FD"/>
            <w:vAlign w:val="center"/>
          </w:tcPr>
          <w:p w14:paraId="1C8A3119" w14:textId="77777777" w:rsidR="004907FB" w:rsidRDefault="00000000">
            <w:pPr>
              <w:rPr>
                <w:rFonts w:hint="eastAsia"/>
              </w:rPr>
            </w:pPr>
            <w:r>
              <w:rPr>
                <w:color w:val="232D3C"/>
                <w:sz w:val="14"/>
              </w:rPr>
              <w:t>ANFE contributes a decision workflow; L3Cube-IndicNews provides a valuable multilingual benchmark/resource.</w:t>
            </w:r>
          </w:p>
        </w:tc>
      </w:tr>
      <w:tr w:rsidR="004907FB" w14:paraId="142342F2" w14:textId="77777777">
        <w:trPr>
          <w:jc w:val="center"/>
        </w:trPr>
        <w:tc>
          <w:tcPr>
            <w:tcW w:w="1461" w:type="dxa"/>
            <w:vAlign w:val="center"/>
          </w:tcPr>
          <w:p w14:paraId="5E451EAB" w14:textId="77777777" w:rsidR="004907FB" w:rsidRDefault="00000000">
            <w:pPr>
              <w:rPr>
                <w:rFonts w:hint="eastAsia"/>
              </w:rPr>
            </w:pPr>
            <w:r>
              <w:rPr>
                <w:color w:val="232D3C"/>
                <w:sz w:val="14"/>
              </w:rPr>
              <w:t>8</w:t>
            </w:r>
          </w:p>
        </w:tc>
        <w:tc>
          <w:tcPr>
            <w:tcW w:w="1461" w:type="dxa"/>
            <w:vAlign w:val="center"/>
          </w:tcPr>
          <w:p w14:paraId="1CB65DDD" w14:textId="77777777" w:rsidR="004907FB" w:rsidRDefault="00000000">
            <w:pPr>
              <w:rPr>
                <w:rFonts w:hint="eastAsia"/>
              </w:rPr>
            </w:pPr>
            <w:r>
              <w:rPr>
                <w:color w:val="232D3C"/>
                <w:sz w:val="14"/>
              </w:rPr>
              <w:t>MAD-TSC: A Multilingual Aligned News Dataset for Target-dependent Sentiment Classification</w:t>
            </w:r>
            <w:r>
              <w:rPr>
                <w:color w:val="232D3C"/>
                <w:sz w:val="14"/>
              </w:rPr>
              <w:br/>
              <w:t>Dufraisse et al., 2023</w:t>
            </w:r>
          </w:p>
        </w:tc>
        <w:tc>
          <w:tcPr>
            <w:tcW w:w="1461" w:type="dxa"/>
            <w:vAlign w:val="center"/>
          </w:tcPr>
          <w:p w14:paraId="1B3BB5AA" w14:textId="77777777" w:rsidR="004907FB" w:rsidRDefault="00000000">
            <w:pPr>
              <w:rPr>
                <w:rFonts w:hint="eastAsia"/>
              </w:rPr>
            </w:pPr>
            <w:r>
              <w:rPr>
                <w:color w:val="232D3C"/>
                <w:sz w:val="14"/>
              </w:rPr>
              <w:t>Eight-language aligned news dataset for target-dependent sentiment classification.</w:t>
            </w:r>
          </w:p>
        </w:tc>
        <w:tc>
          <w:tcPr>
            <w:tcW w:w="1461" w:type="dxa"/>
            <w:vAlign w:val="center"/>
          </w:tcPr>
          <w:p w14:paraId="5CB4EE15" w14:textId="77777777" w:rsidR="004907FB" w:rsidRDefault="00000000">
            <w:pPr>
              <w:rPr>
                <w:rFonts w:hint="eastAsia"/>
              </w:rPr>
            </w:pPr>
            <w:r>
              <w:rPr>
                <w:color w:val="232D3C"/>
                <w:sz w:val="14"/>
              </w:rPr>
              <w:t>Provides a challenging multilingual news resource with diversified sources and entities.</w:t>
            </w:r>
          </w:p>
        </w:tc>
        <w:tc>
          <w:tcPr>
            <w:tcW w:w="1461" w:type="dxa"/>
            <w:vAlign w:val="center"/>
          </w:tcPr>
          <w:p w14:paraId="241E85BB" w14:textId="77777777" w:rsidR="004907FB" w:rsidRDefault="00000000">
            <w:pPr>
              <w:rPr>
                <w:rFonts w:hint="eastAsia"/>
              </w:rPr>
            </w:pPr>
            <w:r>
              <w:rPr>
                <w:color w:val="232D3C"/>
                <w:sz w:val="14"/>
              </w:rPr>
              <w:t>Focuses on target-dependent sentiment, not topic categorization.</w:t>
            </w:r>
          </w:p>
        </w:tc>
        <w:tc>
          <w:tcPr>
            <w:tcW w:w="1461" w:type="dxa"/>
            <w:vAlign w:val="center"/>
          </w:tcPr>
          <w:p w14:paraId="41FD1234" w14:textId="77777777" w:rsidR="004907FB" w:rsidRDefault="00000000">
            <w:pPr>
              <w:rPr>
                <w:rFonts w:hint="eastAsia"/>
              </w:rPr>
            </w:pPr>
            <w:r>
              <w:rPr>
                <w:color w:val="232D3C"/>
                <w:sz w:val="14"/>
              </w:rPr>
              <w:t>Shows the importance of multilingual news resources, source diversity and entity-aware analysis.</w:t>
            </w:r>
          </w:p>
        </w:tc>
        <w:tc>
          <w:tcPr>
            <w:tcW w:w="1461" w:type="dxa"/>
            <w:vAlign w:val="center"/>
          </w:tcPr>
          <w:p w14:paraId="24B0225E" w14:textId="77777777" w:rsidR="004907FB" w:rsidRDefault="00000000">
            <w:pPr>
              <w:rPr>
                <w:rFonts w:hint="eastAsia"/>
              </w:rPr>
            </w:pPr>
            <w:r>
              <w:rPr>
                <w:color w:val="232D3C"/>
                <w:sz w:val="14"/>
              </w:rPr>
              <w:t>ANFE targets topic categorization and combines entity, lexical and structural evidence.</w:t>
            </w:r>
          </w:p>
        </w:tc>
      </w:tr>
      <w:tr w:rsidR="004907FB" w14:paraId="4BCEB3BE" w14:textId="77777777">
        <w:trPr>
          <w:jc w:val="center"/>
        </w:trPr>
        <w:tc>
          <w:tcPr>
            <w:tcW w:w="1461" w:type="dxa"/>
            <w:shd w:val="clear" w:color="auto" w:fill="F3F8FD"/>
            <w:vAlign w:val="center"/>
          </w:tcPr>
          <w:p w14:paraId="27CC0CBE" w14:textId="77777777" w:rsidR="004907FB" w:rsidRDefault="00000000">
            <w:pPr>
              <w:rPr>
                <w:rFonts w:hint="eastAsia"/>
              </w:rPr>
            </w:pPr>
            <w:r>
              <w:rPr>
                <w:color w:val="232D3C"/>
                <w:sz w:val="14"/>
              </w:rPr>
              <w:t>9</w:t>
            </w:r>
          </w:p>
        </w:tc>
        <w:tc>
          <w:tcPr>
            <w:tcW w:w="1461" w:type="dxa"/>
            <w:shd w:val="clear" w:color="auto" w:fill="F3F8FD"/>
            <w:vAlign w:val="center"/>
          </w:tcPr>
          <w:p w14:paraId="5A118BCB" w14:textId="77777777" w:rsidR="004907FB" w:rsidRDefault="00000000">
            <w:pPr>
              <w:rPr>
                <w:rFonts w:hint="eastAsia"/>
              </w:rPr>
            </w:pPr>
            <w:r>
              <w:rPr>
                <w:color w:val="232D3C"/>
                <w:sz w:val="14"/>
              </w:rPr>
              <w:t>Support-vector networks</w:t>
            </w:r>
            <w:r>
              <w:rPr>
                <w:color w:val="232D3C"/>
                <w:sz w:val="14"/>
              </w:rPr>
              <w:br/>
            </w:r>
            <w:r>
              <w:rPr>
                <w:color w:val="232D3C"/>
                <w:sz w:val="14"/>
              </w:rPr>
              <w:lastRenderedPageBreak/>
              <w:t>Cortes &amp; Vapnik, 1995</w:t>
            </w:r>
          </w:p>
        </w:tc>
        <w:tc>
          <w:tcPr>
            <w:tcW w:w="1461" w:type="dxa"/>
            <w:shd w:val="clear" w:color="auto" w:fill="F3F8FD"/>
            <w:vAlign w:val="center"/>
          </w:tcPr>
          <w:p w14:paraId="6E2CE27B" w14:textId="77777777" w:rsidR="004907FB" w:rsidRDefault="00000000">
            <w:pPr>
              <w:rPr>
                <w:rFonts w:hint="eastAsia"/>
              </w:rPr>
            </w:pPr>
            <w:r>
              <w:rPr>
                <w:color w:val="232D3C"/>
                <w:sz w:val="14"/>
              </w:rPr>
              <w:lastRenderedPageBreak/>
              <w:t xml:space="preserve">Foundational support-vector </w:t>
            </w:r>
            <w:r>
              <w:rPr>
                <w:color w:val="232D3C"/>
                <w:sz w:val="14"/>
              </w:rPr>
              <w:lastRenderedPageBreak/>
              <w:t>learning framework for classification.</w:t>
            </w:r>
          </w:p>
        </w:tc>
        <w:tc>
          <w:tcPr>
            <w:tcW w:w="1461" w:type="dxa"/>
            <w:shd w:val="clear" w:color="auto" w:fill="F3F8FD"/>
            <w:vAlign w:val="center"/>
          </w:tcPr>
          <w:p w14:paraId="4AF96C90" w14:textId="77777777" w:rsidR="004907FB" w:rsidRDefault="00000000">
            <w:pPr>
              <w:rPr>
                <w:rFonts w:hint="eastAsia"/>
              </w:rPr>
            </w:pPr>
            <w:r>
              <w:rPr>
                <w:color w:val="232D3C"/>
                <w:sz w:val="14"/>
              </w:rPr>
              <w:lastRenderedPageBreak/>
              <w:t xml:space="preserve">Establishes the theoretical </w:t>
            </w:r>
            <w:r>
              <w:rPr>
                <w:color w:val="232D3C"/>
                <w:sz w:val="14"/>
              </w:rPr>
              <w:lastRenderedPageBreak/>
              <w:t>foundation of support-vector networks.</w:t>
            </w:r>
          </w:p>
        </w:tc>
        <w:tc>
          <w:tcPr>
            <w:tcW w:w="1461" w:type="dxa"/>
            <w:shd w:val="clear" w:color="auto" w:fill="F3F8FD"/>
            <w:vAlign w:val="center"/>
          </w:tcPr>
          <w:p w14:paraId="5DC6AF18" w14:textId="77777777" w:rsidR="004907FB" w:rsidRDefault="00000000">
            <w:pPr>
              <w:rPr>
                <w:rFonts w:hint="eastAsia"/>
              </w:rPr>
            </w:pPr>
            <w:r>
              <w:rPr>
                <w:color w:val="232D3C"/>
                <w:sz w:val="14"/>
              </w:rPr>
              <w:lastRenderedPageBreak/>
              <w:t xml:space="preserve">Foundational classifier work, not </w:t>
            </w:r>
            <w:r>
              <w:rPr>
                <w:color w:val="232D3C"/>
                <w:sz w:val="14"/>
              </w:rPr>
              <w:lastRenderedPageBreak/>
              <w:t>news-specific or multilingual.</w:t>
            </w:r>
          </w:p>
        </w:tc>
        <w:tc>
          <w:tcPr>
            <w:tcW w:w="1461" w:type="dxa"/>
            <w:shd w:val="clear" w:color="auto" w:fill="F3F8FD"/>
            <w:vAlign w:val="center"/>
          </w:tcPr>
          <w:p w14:paraId="2A38234E" w14:textId="77777777" w:rsidR="004907FB" w:rsidRDefault="00000000">
            <w:pPr>
              <w:rPr>
                <w:rFonts w:hint="eastAsia"/>
              </w:rPr>
            </w:pPr>
            <w:r>
              <w:rPr>
                <w:color w:val="232D3C"/>
                <w:sz w:val="14"/>
              </w:rPr>
              <w:lastRenderedPageBreak/>
              <w:t xml:space="preserve">Provides background for the </w:t>
            </w:r>
            <w:r>
              <w:rPr>
                <w:color w:val="232D3C"/>
                <w:sz w:val="14"/>
              </w:rPr>
              <w:lastRenderedPageBreak/>
              <w:t>SVM used in Review-1.</w:t>
            </w:r>
          </w:p>
        </w:tc>
        <w:tc>
          <w:tcPr>
            <w:tcW w:w="1461" w:type="dxa"/>
            <w:shd w:val="clear" w:color="auto" w:fill="F3F8FD"/>
            <w:vAlign w:val="center"/>
          </w:tcPr>
          <w:p w14:paraId="46AF3D47" w14:textId="77777777" w:rsidR="004907FB" w:rsidRDefault="00000000">
            <w:pPr>
              <w:rPr>
                <w:rFonts w:hint="eastAsia"/>
              </w:rPr>
            </w:pPr>
            <w:r>
              <w:rPr>
                <w:color w:val="232D3C"/>
                <w:sz w:val="14"/>
              </w:rPr>
              <w:lastRenderedPageBreak/>
              <w:t xml:space="preserve">ANFE is not another SVM classifier; it </w:t>
            </w:r>
            <w:r>
              <w:rPr>
                <w:color w:val="232D3C"/>
                <w:sz w:val="14"/>
              </w:rPr>
              <w:lastRenderedPageBreak/>
              <w:t>changes the project's decision workflow.</w:t>
            </w:r>
          </w:p>
        </w:tc>
      </w:tr>
      <w:tr w:rsidR="004907FB" w14:paraId="3205F755" w14:textId="77777777">
        <w:trPr>
          <w:jc w:val="center"/>
        </w:trPr>
        <w:tc>
          <w:tcPr>
            <w:tcW w:w="1461" w:type="dxa"/>
            <w:vAlign w:val="center"/>
          </w:tcPr>
          <w:p w14:paraId="53D26FE4" w14:textId="77777777" w:rsidR="004907FB" w:rsidRDefault="00000000">
            <w:pPr>
              <w:rPr>
                <w:rFonts w:hint="eastAsia"/>
              </w:rPr>
            </w:pPr>
            <w:r>
              <w:rPr>
                <w:color w:val="232D3C"/>
                <w:sz w:val="14"/>
              </w:rPr>
              <w:lastRenderedPageBreak/>
              <w:t>10</w:t>
            </w:r>
          </w:p>
        </w:tc>
        <w:tc>
          <w:tcPr>
            <w:tcW w:w="1461" w:type="dxa"/>
            <w:vAlign w:val="center"/>
          </w:tcPr>
          <w:p w14:paraId="4B1B5EEF" w14:textId="77777777" w:rsidR="004907FB" w:rsidRDefault="00000000">
            <w:pPr>
              <w:rPr>
                <w:rFonts w:hint="eastAsia"/>
              </w:rPr>
            </w:pPr>
            <w:r>
              <w:rPr>
                <w:color w:val="232D3C"/>
                <w:sz w:val="14"/>
              </w:rPr>
              <w:t>Text Categorization with Support Vector Machines: Learning with Many Relevant Features</w:t>
            </w:r>
            <w:r>
              <w:rPr>
                <w:color w:val="232D3C"/>
                <w:sz w:val="14"/>
              </w:rPr>
              <w:br/>
              <w:t>Joachims, 1998</w:t>
            </w:r>
          </w:p>
        </w:tc>
        <w:tc>
          <w:tcPr>
            <w:tcW w:w="1461" w:type="dxa"/>
            <w:vAlign w:val="center"/>
          </w:tcPr>
          <w:p w14:paraId="7415E03F" w14:textId="77777777" w:rsidR="004907FB" w:rsidRDefault="00000000">
            <w:pPr>
              <w:rPr>
                <w:rFonts w:hint="eastAsia"/>
              </w:rPr>
            </w:pPr>
            <w:r>
              <w:rPr>
                <w:color w:val="232D3C"/>
                <w:sz w:val="14"/>
              </w:rPr>
              <w:t>Support Vector Machines applied to high-dimensional text categorization.</w:t>
            </w:r>
          </w:p>
        </w:tc>
        <w:tc>
          <w:tcPr>
            <w:tcW w:w="1461" w:type="dxa"/>
            <w:vAlign w:val="center"/>
          </w:tcPr>
          <w:p w14:paraId="0648C089" w14:textId="77777777" w:rsidR="004907FB" w:rsidRDefault="00000000">
            <w:pPr>
              <w:rPr>
                <w:rFonts w:hint="eastAsia"/>
              </w:rPr>
            </w:pPr>
            <w:r>
              <w:rPr>
                <w:color w:val="232D3C"/>
                <w:sz w:val="14"/>
              </w:rPr>
              <w:t>Establishes the practical relevance of SVMs for text categorization.</w:t>
            </w:r>
          </w:p>
        </w:tc>
        <w:tc>
          <w:tcPr>
            <w:tcW w:w="1461" w:type="dxa"/>
            <w:vAlign w:val="center"/>
          </w:tcPr>
          <w:p w14:paraId="300EEDC2" w14:textId="77777777" w:rsidR="004907FB" w:rsidRDefault="00000000">
            <w:pPr>
              <w:rPr>
                <w:rFonts w:hint="eastAsia"/>
              </w:rPr>
            </w:pPr>
            <w:r>
              <w:rPr>
                <w:color w:val="232D3C"/>
                <w:sz w:val="14"/>
              </w:rPr>
              <w:t>Classical supervised classification without the proposed evidence-explanation and REVIEW workflow.</w:t>
            </w:r>
          </w:p>
        </w:tc>
        <w:tc>
          <w:tcPr>
            <w:tcW w:w="1461" w:type="dxa"/>
            <w:vAlign w:val="center"/>
          </w:tcPr>
          <w:p w14:paraId="47C408D6" w14:textId="77777777" w:rsidR="004907FB" w:rsidRDefault="00000000">
            <w:pPr>
              <w:rPr>
                <w:rFonts w:hint="eastAsia"/>
              </w:rPr>
            </w:pPr>
            <w:r>
              <w:rPr>
                <w:color w:val="232D3C"/>
                <w:sz w:val="14"/>
              </w:rPr>
              <w:t>Directly supports the methodological background of Review-1.</w:t>
            </w:r>
          </w:p>
        </w:tc>
        <w:tc>
          <w:tcPr>
            <w:tcW w:w="1461" w:type="dxa"/>
            <w:vAlign w:val="center"/>
          </w:tcPr>
          <w:p w14:paraId="4693E005" w14:textId="77777777" w:rsidR="004907FB" w:rsidRDefault="00000000">
            <w:pPr>
              <w:rPr>
                <w:rFonts w:hint="eastAsia"/>
              </w:rPr>
            </w:pPr>
            <w:r>
              <w:rPr>
                <w:color w:val="232D3C"/>
                <w:sz w:val="14"/>
              </w:rPr>
              <w:t>ANFE moves beyond the fixed TF-IDF/SVM pipeline by combining multiple evidence sources and handling uncertain cases.</w:t>
            </w:r>
          </w:p>
        </w:tc>
      </w:tr>
    </w:tbl>
    <w:p w14:paraId="29EE57B7" w14:textId="77777777" w:rsidR="004907FB" w:rsidRDefault="00000000">
      <w:pPr>
        <w:pStyle w:val="Heading1"/>
      </w:pPr>
      <w:r>
        <w:t>4. Research Gap Identified from the Comparison</w:t>
      </w:r>
    </w:p>
    <w:p w14:paraId="37A7C72C" w14:textId="77777777" w:rsidR="004907FB" w:rsidRDefault="00000000">
      <w:pPr>
        <w:pStyle w:val="ListBullet"/>
        <w:rPr>
          <w:rFonts w:hint="eastAsia"/>
        </w:rPr>
      </w:pPr>
      <w:r>
        <w:t>The reviewed literature contains established model families including SVM-based text classification, character-level neural models, BERT/mBERT, XLM-R and multilingual news systems.</w:t>
      </w:r>
    </w:p>
    <w:p w14:paraId="3A90A599" w14:textId="77777777" w:rsidR="004907FB" w:rsidRDefault="00000000">
      <w:pPr>
        <w:pStyle w:val="ListBullet"/>
        <w:rPr>
          <w:rFonts w:hint="eastAsia"/>
        </w:rPr>
      </w:pPr>
      <w:r>
        <w:t>These works demonstrate classification, multilingual transfer, or dataset construction, but they do not directly define the project's intended combination of category fingerprints, multiple interpretable evidence signals, adaptive scoring and an explicit REVIEW state.</w:t>
      </w:r>
    </w:p>
    <w:p w14:paraId="5A2DA46A" w14:textId="77777777" w:rsidR="004907FB" w:rsidRDefault="00000000">
      <w:pPr>
        <w:pStyle w:val="ListBullet"/>
        <w:rPr>
          <w:rFonts w:hint="eastAsia"/>
        </w:rPr>
      </w:pPr>
      <w:r>
        <w:t>The Review-1 pipeline is itself an established TF-IDF + chi-square + Linear SVM baseline. Reusing it as the central Review-2 contribution would provide limited methodological distinction.</w:t>
      </w:r>
    </w:p>
    <w:p w14:paraId="24095B70" w14:textId="77777777" w:rsidR="004907FB" w:rsidRDefault="00000000">
      <w:pPr>
        <w:pStyle w:val="ListBullet"/>
        <w:rPr>
          <w:rFonts w:hint="eastAsia"/>
        </w:rPr>
      </w:pPr>
      <w:r>
        <w:t>Multilingual resources such as L3Cube-IndicNews show that Indic-language evaluation is feasible, but the current project dataset is English-only. Multilingual effectiveness therefore remains a future experimental claim.</w:t>
      </w:r>
    </w:p>
    <w:p w14:paraId="1605A4DE" w14:textId="77777777" w:rsidR="004907FB" w:rsidRDefault="00000000">
      <w:pPr>
        <w:pStyle w:val="ListBullet"/>
        <w:rPr>
          <w:rFonts w:hint="eastAsia"/>
        </w:rPr>
      </w:pPr>
      <w:r>
        <w:t>The proposed gap is a project-level integration and evaluation gap: combining understandable evidence sources into a news-topic decision workflow that can display supporting evidence and defer uncertain cases.</w:t>
      </w:r>
    </w:p>
    <w:p w14:paraId="71928F91" w14:textId="77777777" w:rsidR="004907FB" w:rsidRDefault="00000000">
      <w:pPr>
        <w:pStyle w:val="Heading1"/>
      </w:pPr>
      <w:r>
        <w:t>5. Existing Work vs. Review-1 vs. Review-2</w:t>
      </w:r>
    </w:p>
    <w:tbl>
      <w:tblPr>
        <w:tblW w:w="0" w:type="auto"/>
        <w:jc w:val="center"/>
        <w:tblLook w:val="04A0" w:firstRow="1" w:lastRow="0" w:firstColumn="1" w:lastColumn="0" w:noHBand="0" w:noVBand="1"/>
      </w:tblPr>
      <w:tblGrid>
        <w:gridCol w:w="2556"/>
        <w:gridCol w:w="2556"/>
        <w:gridCol w:w="2556"/>
        <w:gridCol w:w="2556"/>
      </w:tblGrid>
      <w:tr w:rsidR="004907FB" w14:paraId="010F3454" w14:textId="77777777">
        <w:trPr>
          <w:jc w:val="center"/>
        </w:trPr>
        <w:tc>
          <w:tcPr>
            <w:tcW w:w="2556" w:type="dxa"/>
            <w:shd w:val="clear" w:color="auto" w:fill="00A6A6"/>
            <w:vAlign w:val="center"/>
          </w:tcPr>
          <w:p w14:paraId="1E9AB35A" w14:textId="77777777" w:rsidR="004907FB" w:rsidRDefault="00000000">
            <w:pPr>
              <w:rPr>
                <w:rFonts w:hint="eastAsia"/>
              </w:rPr>
            </w:pPr>
            <w:r>
              <w:rPr>
                <w:b/>
                <w:color w:val="FFFFFF"/>
                <w:sz w:val="17"/>
              </w:rPr>
              <w:t>Dimension</w:t>
            </w:r>
          </w:p>
        </w:tc>
        <w:tc>
          <w:tcPr>
            <w:tcW w:w="2556" w:type="dxa"/>
            <w:shd w:val="clear" w:color="auto" w:fill="00A6A6"/>
            <w:vAlign w:val="center"/>
          </w:tcPr>
          <w:p w14:paraId="2FDF38F8" w14:textId="77777777" w:rsidR="004907FB" w:rsidRDefault="00000000">
            <w:pPr>
              <w:rPr>
                <w:rFonts w:hint="eastAsia"/>
              </w:rPr>
            </w:pPr>
            <w:r>
              <w:rPr>
                <w:b/>
                <w:color w:val="FFFFFF"/>
                <w:sz w:val="17"/>
              </w:rPr>
              <w:t>Existing literature</w:t>
            </w:r>
          </w:p>
        </w:tc>
        <w:tc>
          <w:tcPr>
            <w:tcW w:w="2556" w:type="dxa"/>
            <w:shd w:val="clear" w:color="auto" w:fill="00A6A6"/>
            <w:vAlign w:val="center"/>
          </w:tcPr>
          <w:p w14:paraId="2199618E" w14:textId="77777777" w:rsidR="004907FB" w:rsidRDefault="00000000">
            <w:pPr>
              <w:rPr>
                <w:rFonts w:hint="eastAsia"/>
              </w:rPr>
            </w:pPr>
            <w:r>
              <w:rPr>
                <w:b/>
                <w:color w:val="FFFFFF"/>
                <w:sz w:val="17"/>
              </w:rPr>
              <w:t>Review-1</w:t>
            </w:r>
          </w:p>
        </w:tc>
        <w:tc>
          <w:tcPr>
            <w:tcW w:w="2556" w:type="dxa"/>
            <w:shd w:val="clear" w:color="auto" w:fill="00A6A6"/>
            <w:vAlign w:val="center"/>
          </w:tcPr>
          <w:p w14:paraId="144047CD" w14:textId="77777777" w:rsidR="004907FB" w:rsidRDefault="00000000">
            <w:pPr>
              <w:rPr>
                <w:rFonts w:hint="eastAsia"/>
              </w:rPr>
            </w:pPr>
            <w:r>
              <w:rPr>
                <w:b/>
                <w:color w:val="FFFFFF"/>
                <w:sz w:val="17"/>
              </w:rPr>
              <w:t>Review-2 proposed direction</w:t>
            </w:r>
          </w:p>
        </w:tc>
      </w:tr>
      <w:tr w:rsidR="004907FB" w14:paraId="13106B98" w14:textId="77777777">
        <w:trPr>
          <w:jc w:val="center"/>
        </w:trPr>
        <w:tc>
          <w:tcPr>
            <w:tcW w:w="2556" w:type="dxa"/>
            <w:shd w:val="clear" w:color="auto" w:fill="F4FBFB"/>
            <w:vAlign w:val="center"/>
          </w:tcPr>
          <w:p w14:paraId="3F573E7A" w14:textId="77777777" w:rsidR="004907FB" w:rsidRDefault="00000000">
            <w:pPr>
              <w:rPr>
                <w:rFonts w:hint="eastAsia"/>
              </w:rPr>
            </w:pPr>
            <w:r>
              <w:rPr>
                <w:color w:val="232D3C"/>
                <w:sz w:val="16"/>
              </w:rPr>
              <w:t>Core method</w:t>
            </w:r>
          </w:p>
        </w:tc>
        <w:tc>
          <w:tcPr>
            <w:tcW w:w="2556" w:type="dxa"/>
            <w:shd w:val="clear" w:color="auto" w:fill="F4FBFB"/>
            <w:vAlign w:val="center"/>
          </w:tcPr>
          <w:p w14:paraId="11049E7F" w14:textId="77777777" w:rsidR="004907FB" w:rsidRDefault="00000000">
            <w:pPr>
              <w:rPr>
                <w:rFonts w:hint="eastAsia"/>
              </w:rPr>
            </w:pPr>
            <w:r>
              <w:rPr>
                <w:color w:val="232D3C"/>
                <w:sz w:val="16"/>
              </w:rPr>
              <w:t>CNNs, SVMs, BERT/mBERT, XLM-R and other established approaches</w:t>
            </w:r>
          </w:p>
        </w:tc>
        <w:tc>
          <w:tcPr>
            <w:tcW w:w="2556" w:type="dxa"/>
            <w:shd w:val="clear" w:color="auto" w:fill="F4FBFB"/>
            <w:vAlign w:val="center"/>
          </w:tcPr>
          <w:p w14:paraId="79413AB6" w14:textId="77777777" w:rsidR="004907FB" w:rsidRDefault="00000000">
            <w:pPr>
              <w:rPr>
                <w:rFonts w:hint="eastAsia"/>
              </w:rPr>
            </w:pPr>
            <w:r>
              <w:rPr>
                <w:color w:val="232D3C"/>
                <w:sz w:val="16"/>
              </w:rPr>
              <w:t>TF-IDF + chi-square + Linear SVM</w:t>
            </w:r>
          </w:p>
        </w:tc>
        <w:tc>
          <w:tcPr>
            <w:tcW w:w="2556" w:type="dxa"/>
            <w:shd w:val="clear" w:color="auto" w:fill="F4FBFB"/>
            <w:vAlign w:val="center"/>
          </w:tcPr>
          <w:p w14:paraId="56764A62" w14:textId="77777777" w:rsidR="004907FB" w:rsidRDefault="00000000">
            <w:pPr>
              <w:rPr>
                <w:rFonts w:hint="eastAsia"/>
              </w:rPr>
            </w:pPr>
            <w:r>
              <w:rPr>
                <w:color w:val="232D3C"/>
                <w:sz w:val="16"/>
              </w:rPr>
              <w:t>Adaptive News Fingerprint Engine</w:t>
            </w:r>
          </w:p>
        </w:tc>
      </w:tr>
      <w:tr w:rsidR="004907FB" w14:paraId="49575852" w14:textId="77777777">
        <w:trPr>
          <w:jc w:val="center"/>
        </w:trPr>
        <w:tc>
          <w:tcPr>
            <w:tcW w:w="2556" w:type="dxa"/>
            <w:vAlign w:val="center"/>
          </w:tcPr>
          <w:p w14:paraId="77FC5F76" w14:textId="77777777" w:rsidR="004907FB" w:rsidRDefault="00000000">
            <w:pPr>
              <w:rPr>
                <w:rFonts w:hint="eastAsia"/>
              </w:rPr>
            </w:pPr>
            <w:r>
              <w:rPr>
                <w:color w:val="232D3C"/>
                <w:sz w:val="16"/>
              </w:rPr>
              <w:t>Evidence</w:t>
            </w:r>
          </w:p>
        </w:tc>
        <w:tc>
          <w:tcPr>
            <w:tcW w:w="2556" w:type="dxa"/>
            <w:vAlign w:val="center"/>
          </w:tcPr>
          <w:p w14:paraId="27E72961" w14:textId="77777777" w:rsidR="004907FB" w:rsidRDefault="00000000">
            <w:pPr>
              <w:rPr>
                <w:rFonts w:hint="eastAsia"/>
              </w:rPr>
            </w:pPr>
            <w:r>
              <w:rPr>
                <w:color w:val="232D3C"/>
                <w:sz w:val="16"/>
              </w:rPr>
              <w:t>Features / embeddings inside models</w:t>
            </w:r>
          </w:p>
        </w:tc>
        <w:tc>
          <w:tcPr>
            <w:tcW w:w="2556" w:type="dxa"/>
            <w:vAlign w:val="center"/>
          </w:tcPr>
          <w:p w14:paraId="6A2B3D49" w14:textId="77777777" w:rsidR="004907FB" w:rsidRDefault="00000000">
            <w:pPr>
              <w:rPr>
                <w:rFonts w:hint="eastAsia"/>
              </w:rPr>
            </w:pPr>
            <w:r>
              <w:rPr>
                <w:color w:val="232D3C"/>
                <w:sz w:val="16"/>
              </w:rPr>
              <w:t>Sparse lexical features</w:t>
            </w:r>
          </w:p>
        </w:tc>
        <w:tc>
          <w:tcPr>
            <w:tcW w:w="2556" w:type="dxa"/>
            <w:vAlign w:val="center"/>
          </w:tcPr>
          <w:p w14:paraId="17DB0B90" w14:textId="77777777" w:rsidR="004907FB" w:rsidRDefault="00000000">
            <w:pPr>
              <w:rPr>
                <w:rFonts w:hint="eastAsia"/>
              </w:rPr>
            </w:pPr>
            <w:r>
              <w:rPr>
                <w:color w:val="232D3C"/>
                <w:sz w:val="16"/>
              </w:rPr>
              <w:t>Lexical + entity/domain + structural + source/category evidence</w:t>
            </w:r>
          </w:p>
        </w:tc>
      </w:tr>
      <w:tr w:rsidR="004907FB" w14:paraId="6FE9FE1E" w14:textId="77777777">
        <w:trPr>
          <w:jc w:val="center"/>
        </w:trPr>
        <w:tc>
          <w:tcPr>
            <w:tcW w:w="2556" w:type="dxa"/>
            <w:shd w:val="clear" w:color="auto" w:fill="F4FBFB"/>
            <w:vAlign w:val="center"/>
          </w:tcPr>
          <w:p w14:paraId="36E426CB" w14:textId="77777777" w:rsidR="004907FB" w:rsidRDefault="00000000">
            <w:pPr>
              <w:rPr>
                <w:rFonts w:hint="eastAsia"/>
              </w:rPr>
            </w:pPr>
            <w:r>
              <w:rPr>
                <w:color w:val="232D3C"/>
                <w:sz w:val="16"/>
              </w:rPr>
              <w:t>Decision</w:t>
            </w:r>
          </w:p>
        </w:tc>
        <w:tc>
          <w:tcPr>
            <w:tcW w:w="2556" w:type="dxa"/>
            <w:shd w:val="clear" w:color="auto" w:fill="F4FBFB"/>
            <w:vAlign w:val="center"/>
          </w:tcPr>
          <w:p w14:paraId="69B10DE3" w14:textId="77777777" w:rsidR="004907FB" w:rsidRDefault="00000000">
            <w:pPr>
              <w:rPr>
                <w:rFonts w:hint="eastAsia"/>
              </w:rPr>
            </w:pPr>
            <w:r>
              <w:rPr>
                <w:color w:val="232D3C"/>
                <w:sz w:val="16"/>
              </w:rPr>
              <w:t>Classifier output</w:t>
            </w:r>
          </w:p>
        </w:tc>
        <w:tc>
          <w:tcPr>
            <w:tcW w:w="2556" w:type="dxa"/>
            <w:shd w:val="clear" w:color="auto" w:fill="F4FBFB"/>
            <w:vAlign w:val="center"/>
          </w:tcPr>
          <w:p w14:paraId="486EBCFE" w14:textId="77777777" w:rsidR="004907FB" w:rsidRDefault="00000000">
            <w:pPr>
              <w:rPr>
                <w:rFonts w:hint="eastAsia"/>
              </w:rPr>
            </w:pPr>
            <w:r>
              <w:rPr>
                <w:color w:val="232D3C"/>
                <w:sz w:val="16"/>
              </w:rPr>
              <w:t>Fixed classifier prediction</w:t>
            </w:r>
          </w:p>
        </w:tc>
        <w:tc>
          <w:tcPr>
            <w:tcW w:w="2556" w:type="dxa"/>
            <w:shd w:val="clear" w:color="auto" w:fill="F4FBFB"/>
            <w:vAlign w:val="center"/>
          </w:tcPr>
          <w:p w14:paraId="5B553BF5" w14:textId="77777777" w:rsidR="004907FB" w:rsidRDefault="00000000">
            <w:pPr>
              <w:rPr>
                <w:rFonts w:hint="eastAsia"/>
              </w:rPr>
            </w:pPr>
            <w:r>
              <w:rPr>
                <w:color w:val="232D3C"/>
                <w:sz w:val="16"/>
              </w:rPr>
              <w:t>Adaptive category score + uncertainty check</w:t>
            </w:r>
          </w:p>
        </w:tc>
      </w:tr>
      <w:tr w:rsidR="004907FB" w14:paraId="7E132737" w14:textId="77777777">
        <w:trPr>
          <w:jc w:val="center"/>
        </w:trPr>
        <w:tc>
          <w:tcPr>
            <w:tcW w:w="2556" w:type="dxa"/>
            <w:vAlign w:val="center"/>
          </w:tcPr>
          <w:p w14:paraId="7EC6B61D" w14:textId="77777777" w:rsidR="004907FB" w:rsidRDefault="00000000">
            <w:pPr>
              <w:rPr>
                <w:rFonts w:hint="eastAsia"/>
              </w:rPr>
            </w:pPr>
            <w:r>
              <w:rPr>
                <w:color w:val="232D3C"/>
                <w:sz w:val="16"/>
              </w:rPr>
              <w:t>Uncertainty</w:t>
            </w:r>
          </w:p>
        </w:tc>
        <w:tc>
          <w:tcPr>
            <w:tcW w:w="2556" w:type="dxa"/>
            <w:vAlign w:val="center"/>
          </w:tcPr>
          <w:p w14:paraId="2845620F" w14:textId="77777777" w:rsidR="004907FB" w:rsidRDefault="00000000">
            <w:pPr>
              <w:rPr>
                <w:rFonts w:hint="eastAsia"/>
              </w:rPr>
            </w:pPr>
            <w:r>
              <w:rPr>
                <w:color w:val="232D3C"/>
                <w:sz w:val="16"/>
              </w:rPr>
              <w:t>Not the main focus in selected references</w:t>
            </w:r>
          </w:p>
        </w:tc>
        <w:tc>
          <w:tcPr>
            <w:tcW w:w="2556" w:type="dxa"/>
            <w:vAlign w:val="center"/>
          </w:tcPr>
          <w:p w14:paraId="08CFA61B" w14:textId="77777777" w:rsidR="004907FB" w:rsidRDefault="00000000">
            <w:pPr>
              <w:rPr>
                <w:rFonts w:hint="eastAsia"/>
              </w:rPr>
            </w:pPr>
            <w:r>
              <w:rPr>
                <w:color w:val="232D3C"/>
                <w:sz w:val="16"/>
              </w:rPr>
              <w:t>No explicit Review-1 abstention result</w:t>
            </w:r>
          </w:p>
        </w:tc>
        <w:tc>
          <w:tcPr>
            <w:tcW w:w="2556" w:type="dxa"/>
            <w:vAlign w:val="center"/>
          </w:tcPr>
          <w:p w14:paraId="21240651" w14:textId="77777777" w:rsidR="004907FB" w:rsidRDefault="00000000">
            <w:pPr>
              <w:rPr>
                <w:rFonts w:hint="eastAsia"/>
              </w:rPr>
            </w:pPr>
            <w:r>
              <w:rPr>
                <w:color w:val="232D3C"/>
                <w:sz w:val="16"/>
              </w:rPr>
              <w:t>Explicit ACCEPT / REVIEW state</w:t>
            </w:r>
          </w:p>
        </w:tc>
      </w:tr>
      <w:tr w:rsidR="004907FB" w14:paraId="0F86D617" w14:textId="77777777">
        <w:trPr>
          <w:jc w:val="center"/>
        </w:trPr>
        <w:tc>
          <w:tcPr>
            <w:tcW w:w="2556" w:type="dxa"/>
            <w:shd w:val="clear" w:color="auto" w:fill="F4FBFB"/>
            <w:vAlign w:val="center"/>
          </w:tcPr>
          <w:p w14:paraId="3FD4685C" w14:textId="77777777" w:rsidR="004907FB" w:rsidRDefault="00000000">
            <w:pPr>
              <w:rPr>
                <w:rFonts w:hint="eastAsia"/>
              </w:rPr>
            </w:pPr>
            <w:r>
              <w:rPr>
                <w:color w:val="232D3C"/>
                <w:sz w:val="16"/>
              </w:rPr>
              <w:t>Interpretability</w:t>
            </w:r>
          </w:p>
        </w:tc>
        <w:tc>
          <w:tcPr>
            <w:tcW w:w="2556" w:type="dxa"/>
            <w:shd w:val="clear" w:color="auto" w:fill="F4FBFB"/>
            <w:vAlign w:val="center"/>
          </w:tcPr>
          <w:p w14:paraId="52B4632B" w14:textId="77777777" w:rsidR="004907FB" w:rsidRDefault="00000000">
            <w:pPr>
              <w:rPr>
                <w:rFonts w:hint="eastAsia"/>
              </w:rPr>
            </w:pPr>
            <w:r>
              <w:rPr>
                <w:color w:val="232D3C"/>
                <w:sz w:val="16"/>
              </w:rPr>
              <w:t>Varies by model</w:t>
            </w:r>
          </w:p>
        </w:tc>
        <w:tc>
          <w:tcPr>
            <w:tcW w:w="2556" w:type="dxa"/>
            <w:shd w:val="clear" w:color="auto" w:fill="F4FBFB"/>
            <w:vAlign w:val="center"/>
          </w:tcPr>
          <w:p w14:paraId="6D4D48FA" w14:textId="77777777" w:rsidR="004907FB" w:rsidRDefault="00000000">
            <w:pPr>
              <w:rPr>
                <w:rFonts w:hint="eastAsia"/>
              </w:rPr>
            </w:pPr>
            <w:r>
              <w:rPr>
                <w:color w:val="232D3C"/>
                <w:sz w:val="16"/>
              </w:rPr>
              <w:t>Feature-level interpretability</w:t>
            </w:r>
          </w:p>
        </w:tc>
        <w:tc>
          <w:tcPr>
            <w:tcW w:w="2556" w:type="dxa"/>
            <w:shd w:val="clear" w:color="auto" w:fill="F4FBFB"/>
            <w:vAlign w:val="center"/>
          </w:tcPr>
          <w:p w14:paraId="48F58F4A" w14:textId="77777777" w:rsidR="004907FB" w:rsidRDefault="00000000">
            <w:pPr>
              <w:rPr>
                <w:rFonts w:hint="eastAsia"/>
              </w:rPr>
            </w:pPr>
            <w:r>
              <w:rPr>
                <w:color w:val="232D3C"/>
                <w:sz w:val="16"/>
              </w:rPr>
              <w:t>Display strongest supporting evidence</w:t>
            </w:r>
          </w:p>
        </w:tc>
      </w:tr>
      <w:tr w:rsidR="004907FB" w14:paraId="1483124E" w14:textId="77777777">
        <w:trPr>
          <w:jc w:val="center"/>
        </w:trPr>
        <w:tc>
          <w:tcPr>
            <w:tcW w:w="2556" w:type="dxa"/>
            <w:vAlign w:val="center"/>
          </w:tcPr>
          <w:p w14:paraId="42CFD96B" w14:textId="77777777" w:rsidR="004907FB" w:rsidRDefault="00000000">
            <w:pPr>
              <w:rPr>
                <w:rFonts w:hint="eastAsia"/>
              </w:rPr>
            </w:pPr>
            <w:r>
              <w:rPr>
                <w:color w:val="232D3C"/>
                <w:sz w:val="16"/>
              </w:rPr>
              <w:t>Evaluation</w:t>
            </w:r>
          </w:p>
        </w:tc>
        <w:tc>
          <w:tcPr>
            <w:tcW w:w="2556" w:type="dxa"/>
            <w:vAlign w:val="center"/>
          </w:tcPr>
          <w:p w14:paraId="3AD4A607" w14:textId="77777777" w:rsidR="004907FB" w:rsidRDefault="00000000">
            <w:pPr>
              <w:rPr>
                <w:rFonts w:hint="eastAsia"/>
              </w:rPr>
            </w:pPr>
            <w:r>
              <w:rPr>
                <w:color w:val="232D3C"/>
                <w:sz w:val="16"/>
              </w:rPr>
              <w:t>Benchmark/task-specific</w:t>
            </w:r>
          </w:p>
        </w:tc>
        <w:tc>
          <w:tcPr>
            <w:tcW w:w="2556" w:type="dxa"/>
            <w:vAlign w:val="center"/>
          </w:tcPr>
          <w:p w14:paraId="0AF23150" w14:textId="77777777" w:rsidR="004907FB" w:rsidRDefault="00000000">
            <w:pPr>
              <w:rPr>
                <w:rFonts w:hint="eastAsia"/>
              </w:rPr>
            </w:pPr>
            <w:r>
              <w:rPr>
                <w:color w:val="232D3C"/>
                <w:sz w:val="16"/>
              </w:rPr>
              <w:t>80.28% accuracy; 79.80% weighted F1</w:t>
            </w:r>
          </w:p>
        </w:tc>
        <w:tc>
          <w:tcPr>
            <w:tcW w:w="2556" w:type="dxa"/>
            <w:vAlign w:val="center"/>
          </w:tcPr>
          <w:p w14:paraId="085A8A94" w14:textId="77777777" w:rsidR="004907FB" w:rsidRDefault="00000000">
            <w:pPr>
              <w:rPr>
                <w:rFonts w:hint="eastAsia"/>
              </w:rPr>
            </w:pPr>
            <w:r>
              <w:rPr>
                <w:color w:val="232D3C"/>
                <w:sz w:val="16"/>
              </w:rPr>
              <w:t>To be measured with metrics + ablation</w:t>
            </w:r>
          </w:p>
        </w:tc>
      </w:tr>
      <w:tr w:rsidR="004907FB" w14:paraId="5B760599" w14:textId="77777777">
        <w:trPr>
          <w:jc w:val="center"/>
        </w:trPr>
        <w:tc>
          <w:tcPr>
            <w:tcW w:w="2556" w:type="dxa"/>
            <w:shd w:val="clear" w:color="auto" w:fill="F4FBFB"/>
            <w:vAlign w:val="center"/>
          </w:tcPr>
          <w:p w14:paraId="0361F934" w14:textId="77777777" w:rsidR="004907FB" w:rsidRDefault="00000000">
            <w:pPr>
              <w:rPr>
                <w:rFonts w:hint="eastAsia"/>
              </w:rPr>
            </w:pPr>
            <w:r>
              <w:rPr>
                <w:color w:val="232D3C"/>
                <w:sz w:val="16"/>
              </w:rPr>
              <w:t>Multilingual</w:t>
            </w:r>
          </w:p>
        </w:tc>
        <w:tc>
          <w:tcPr>
            <w:tcW w:w="2556" w:type="dxa"/>
            <w:shd w:val="clear" w:color="auto" w:fill="F4FBFB"/>
            <w:vAlign w:val="center"/>
          </w:tcPr>
          <w:p w14:paraId="60A20293" w14:textId="77777777" w:rsidR="004907FB" w:rsidRDefault="00000000">
            <w:pPr>
              <w:rPr>
                <w:rFonts w:hint="eastAsia"/>
              </w:rPr>
            </w:pPr>
            <w:r>
              <w:rPr>
                <w:color w:val="232D3C"/>
                <w:sz w:val="16"/>
              </w:rPr>
              <w:t>Strong focus in mBERT/XLM-R and Indic datasets</w:t>
            </w:r>
          </w:p>
        </w:tc>
        <w:tc>
          <w:tcPr>
            <w:tcW w:w="2556" w:type="dxa"/>
            <w:shd w:val="clear" w:color="auto" w:fill="F4FBFB"/>
            <w:vAlign w:val="center"/>
          </w:tcPr>
          <w:p w14:paraId="4249B491" w14:textId="77777777" w:rsidR="004907FB" w:rsidRDefault="00000000">
            <w:pPr>
              <w:rPr>
                <w:rFonts w:hint="eastAsia"/>
              </w:rPr>
            </w:pPr>
            <w:r>
              <w:rPr>
                <w:color w:val="232D3C"/>
                <w:sz w:val="16"/>
              </w:rPr>
              <w:t>Current data are English-only</w:t>
            </w:r>
          </w:p>
        </w:tc>
        <w:tc>
          <w:tcPr>
            <w:tcW w:w="2556" w:type="dxa"/>
            <w:shd w:val="clear" w:color="auto" w:fill="F4FBFB"/>
            <w:vAlign w:val="center"/>
          </w:tcPr>
          <w:p w14:paraId="20A0FF7C" w14:textId="77777777" w:rsidR="004907FB" w:rsidRDefault="00000000">
            <w:pPr>
              <w:rPr>
                <w:rFonts w:hint="eastAsia"/>
              </w:rPr>
            </w:pPr>
            <w:r>
              <w:rPr>
                <w:color w:val="232D3C"/>
                <w:sz w:val="16"/>
              </w:rPr>
              <w:t>Future work until measured</w:t>
            </w:r>
          </w:p>
        </w:tc>
      </w:tr>
    </w:tbl>
    <w:p w14:paraId="59C19858" w14:textId="77777777" w:rsidR="004907FB" w:rsidRDefault="00000000">
      <w:pPr>
        <w:pStyle w:val="Heading1"/>
      </w:pPr>
      <w:r>
        <w:lastRenderedPageBreak/>
        <w:t>6. Planned Experimental Comparison</w:t>
      </w:r>
    </w:p>
    <w:tbl>
      <w:tblPr>
        <w:tblW w:w="0" w:type="auto"/>
        <w:jc w:val="center"/>
        <w:tblLook w:val="04A0" w:firstRow="1" w:lastRow="0" w:firstColumn="1" w:lastColumn="0" w:noHBand="0" w:noVBand="1"/>
      </w:tblPr>
      <w:tblGrid>
        <w:gridCol w:w="2556"/>
        <w:gridCol w:w="2556"/>
        <w:gridCol w:w="2556"/>
        <w:gridCol w:w="2556"/>
      </w:tblGrid>
      <w:tr w:rsidR="004907FB" w14:paraId="5E871E15" w14:textId="77777777">
        <w:trPr>
          <w:jc w:val="center"/>
        </w:trPr>
        <w:tc>
          <w:tcPr>
            <w:tcW w:w="2556" w:type="dxa"/>
            <w:shd w:val="clear" w:color="auto" w:fill="F39C12"/>
            <w:vAlign w:val="center"/>
          </w:tcPr>
          <w:p w14:paraId="72FE5908" w14:textId="77777777" w:rsidR="004907FB" w:rsidRDefault="00000000">
            <w:pPr>
              <w:rPr>
                <w:rFonts w:hint="eastAsia"/>
              </w:rPr>
            </w:pPr>
            <w:r>
              <w:rPr>
                <w:b/>
                <w:color w:val="FFFFFF"/>
                <w:sz w:val="17"/>
              </w:rPr>
              <w:t>System</w:t>
            </w:r>
          </w:p>
        </w:tc>
        <w:tc>
          <w:tcPr>
            <w:tcW w:w="2556" w:type="dxa"/>
            <w:shd w:val="clear" w:color="auto" w:fill="F39C12"/>
            <w:vAlign w:val="center"/>
          </w:tcPr>
          <w:p w14:paraId="22AA8BC8" w14:textId="77777777" w:rsidR="004907FB" w:rsidRDefault="00000000">
            <w:pPr>
              <w:rPr>
                <w:rFonts w:hint="eastAsia"/>
              </w:rPr>
            </w:pPr>
            <w:r>
              <w:rPr>
                <w:b/>
                <w:color w:val="FFFFFF"/>
                <w:sz w:val="17"/>
              </w:rPr>
              <w:t>Status</w:t>
            </w:r>
          </w:p>
        </w:tc>
        <w:tc>
          <w:tcPr>
            <w:tcW w:w="2556" w:type="dxa"/>
            <w:shd w:val="clear" w:color="auto" w:fill="F39C12"/>
            <w:vAlign w:val="center"/>
          </w:tcPr>
          <w:p w14:paraId="03C14583" w14:textId="77777777" w:rsidR="004907FB" w:rsidRDefault="00000000">
            <w:pPr>
              <w:rPr>
                <w:rFonts w:hint="eastAsia"/>
              </w:rPr>
            </w:pPr>
            <w:r>
              <w:rPr>
                <w:b/>
                <w:color w:val="FFFFFF"/>
                <w:sz w:val="17"/>
              </w:rPr>
              <w:t>Metrics</w:t>
            </w:r>
          </w:p>
        </w:tc>
        <w:tc>
          <w:tcPr>
            <w:tcW w:w="2556" w:type="dxa"/>
            <w:shd w:val="clear" w:color="auto" w:fill="F39C12"/>
            <w:vAlign w:val="center"/>
          </w:tcPr>
          <w:p w14:paraId="28945B81" w14:textId="77777777" w:rsidR="004907FB" w:rsidRDefault="00000000">
            <w:pPr>
              <w:rPr>
                <w:rFonts w:hint="eastAsia"/>
              </w:rPr>
            </w:pPr>
            <w:r>
              <w:rPr>
                <w:b/>
                <w:color w:val="FFFFFF"/>
                <w:sz w:val="17"/>
              </w:rPr>
              <w:t>Purpose</w:t>
            </w:r>
          </w:p>
        </w:tc>
      </w:tr>
      <w:tr w:rsidR="004907FB" w14:paraId="7F5F3646" w14:textId="77777777">
        <w:trPr>
          <w:jc w:val="center"/>
        </w:trPr>
        <w:tc>
          <w:tcPr>
            <w:tcW w:w="2556" w:type="dxa"/>
            <w:shd w:val="clear" w:color="auto" w:fill="FFF8ED"/>
            <w:vAlign w:val="center"/>
          </w:tcPr>
          <w:p w14:paraId="0099EAA4" w14:textId="77777777" w:rsidR="004907FB" w:rsidRDefault="00000000">
            <w:pPr>
              <w:rPr>
                <w:rFonts w:hint="eastAsia"/>
              </w:rPr>
            </w:pPr>
            <w:r>
              <w:rPr>
                <w:color w:val="232D3C"/>
                <w:sz w:val="16"/>
              </w:rPr>
              <w:t>Review-1: TF-IDF + Chi-square + Linear SVM</w:t>
            </w:r>
          </w:p>
        </w:tc>
        <w:tc>
          <w:tcPr>
            <w:tcW w:w="2556" w:type="dxa"/>
            <w:shd w:val="clear" w:color="auto" w:fill="FFF8ED"/>
            <w:vAlign w:val="center"/>
          </w:tcPr>
          <w:p w14:paraId="2BCB5558" w14:textId="77777777" w:rsidR="004907FB" w:rsidRDefault="00000000">
            <w:pPr>
              <w:rPr>
                <w:rFonts w:hint="eastAsia"/>
              </w:rPr>
            </w:pPr>
            <w:r>
              <w:rPr>
                <w:color w:val="232D3C"/>
                <w:sz w:val="16"/>
              </w:rPr>
              <w:t>Measured</w:t>
            </w:r>
          </w:p>
        </w:tc>
        <w:tc>
          <w:tcPr>
            <w:tcW w:w="2556" w:type="dxa"/>
            <w:shd w:val="clear" w:color="auto" w:fill="FFF8ED"/>
            <w:vAlign w:val="center"/>
          </w:tcPr>
          <w:p w14:paraId="3295DA8D" w14:textId="77777777" w:rsidR="004907FB" w:rsidRDefault="00000000">
            <w:pPr>
              <w:rPr>
                <w:rFonts w:hint="eastAsia"/>
              </w:rPr>
            </w:pPr>
            <w:r>
              <w:rPr>
                <w:color w:val="232D3C"/>
                <w:sz w:val="16"/>
              </w:rPr>
              <w:t>Accuracy, weighted P/R/F1</w:t>
            </w:r>
          </w:p>
        </w:tc>
        <w:tc>
          <w:tcPr>
            <w:tcW w:w="2556" w:type="dxa"/>
            <w:shd w:val="clear" w:color="auto" w:fill="FFF8ED"/>
            <w:vAlign w:val="center"/>
          </w:tcPr>
          <w:p w14:paraId="39EE2070" w14:textId="77777777" w:rsidR="004907FB" w:rsidRDefault="00000000">
            <w:pPr>
              <w:rPr>
                <w:rFonts w:hint="eastAsia"/>
              </w:rPr>
            </w:pPr>
            <w:r>
              <w:rPr>
                <w:color w:val="232D3C"/>
                <w:sz w:val="16"/>
              </w:rPr>
              <w:t>Baseline</w:t>
            </w:r>
          </w:p>
        </w:tc>
      </w:tr>
      <w:tr w:rsidR="004907FB" w14:paraId="7EFBA561" w14:textId="77777777">
        <w:trPr>
          <w:jc w:val="center"/>
        </w:trPr>
        <w:tc>
          <w:tcPr>
            <w:tcW w:w="2556" w:type="dxa"/>
            <w:vAlign w:val="center"/>
          </w:tcPr>
          <w:p w14:paraId="02B20BD4" w14:textId="77777777" w:rsidR="004907FB" w:rsidRDefault="00000000">
            <w:pPr>
              <w:rPr>
                <w:rFonts w:hint="eastAsia"/>
              </w:rPr>
            </w:pPr>
            <w:r>
              <w:rPr>
                <w:color w:val="232D3C"/>
                <w:sz w:val="16"/>
              </w:rPr>
              <w:t>ANFE: all evidence signals</w:t>
            </w:r>
          </w:p>
        </w:tc>
        <w:tc>
          <w:tcPr>
            <w:tcW w:w="2556" w:type="dxa"/>
            <w:vAlign w:val="center"/>
          </w:tcPr>
          <w:p w14:paraId="037C62D1" w14:textId="77777777" w:rsidR="004907FB" w:rsidRDefault="00000000">
            <w:pPr>
              <w:rPr>
                <w:rFonts w:hint="eastAsia"/>
              </w:rPr>
            </w:pPr>
            <w:r>
              <w:rPr>
                <w:color w:val="232D3C"/>
                <w:sz w:val="16"/>
              </w:rPr>
              <w:t>To evaluate</w:t>
            </w:r>
          </w:p>
        </w:tc>
        <w:tc>
          <w:tcPr>
            <w:tcW w:w="2556" w:type="dxa"/>
            <w:vAlign w:val="center"/>
          </w:tcPr>
          <w:p w14:paraId="55E79224" w14:textId="77777777" w:rsidR="004907FB" w:rsidRDefault="00000000">
            <w:pPr>
              <w:rPr>
                <w:rFonts w:hint="eastAsia"/>
              </w:rPr>
            </w:pPr>
            <w:r>
              <w:rPr>
                <w:color w:val="232D3C"/>
                <w:sz w:val="16"/>
              </w:rPr>
              <w:t>Accuracy, macro/weighted P/R/F1, review rate</w:t>
            </w:r>
          </w:p>
        </w:tc>
        <w:tc>
          <w:tcPr>
            <w:tcW w:w="2556" w:type="dxa"/>
            <w:vAlign w:val="center"/>
          </w:tcPr>
          <w:p w14:paraId="2FDE51FA" w14:textId="77777777" w:rsidR="004907FB" w:rsidRDefault="00000000">
            <w:pPr>
              <w:rPr>
                <w:rFonts w:hint="eastAsia"/>
              </w:rPr>
            </w:pPr>
            <w:r>
              <w:rPr>
                <w:color w:val="232D3C"/>
                <w:sz w:val="16"/>
              </w:rPr>
              <w:t>Main Review-2 experiment</w:t>
            </w:r>
          </w:p>
        </w:tc>
      </w:tr>
      <w:tr w:rsidR="004907FB" w14:paraId="02BC992F" w14:textId="77777777">
        <w:trPr>
          <w:jc w:val="center"/>
        </w:trPr>
        <w:tc>
          <w:tcPr>
            <w:tcW w:w="2556" w:type="dxa"/>
            <w:shd w:val="clear" w:color="auto" w:fill="FFF8ED"/>
            <w:vAlign w:val="center"/>
          </w:tcPr>
          <w:p w14:paraId="170477F9" w14:textId="77777777" w:rsidR="004907FB" w:rsidRDefault="00000000">
            <w:pPr>
              <w:rPr>
                <w:rFonts w:hint="eastAsia"/>
              </w:rPr>
            </w:pPr>
            <w:r>
              <w:rPr>
                <w:color w:val="232D3C"/>
                <w:sz w:val="16"/>
              </w:rPr>
              <w:t>ANFE − lexical signal</w:t>
            </w:r>
          </w:p>
        </w:tc>
        <w:tc>
          <w:tcPr>
            <w:tcW w:w="2556" w:type="dxa"/>
            <w:shd w:val="clear" w:color="auto" w:fill="FFF8ED"/>
            <w:vAlign w:val="center"/>
          </w:tcPr>
          <w:p w14:paraId="217B3724" w14:textId="77777777" w:rsidR="004907FB" w:rsidRDefault="00000000">
            <w:pPr>
              <w:rPr>
                <w:rFonts w:hint="eastAsia"/>
              </w:rPr>
            </w:pPr>
            <w:r>
              <w:rPr>
                <w:color w:val="232D3C"/>
                <w:sz w:val="16"/>
              </w:rPr>
              <w:t>To evaluate</w:t>
            </w:r>
          </w:p>
        </w:tc>
        <w:tc>
          <w:tcPr>
            <w:tcW w:w="2556" w:type="dxa"/>
            <w:shd w:val="clear" w:color="auto" w:fill="FFF8ED"/>
            <w:vAlign w:val="center"/>
          </w:tcPr>
          <w:p w14:paraId="0EFF35F3" w14:textId="77777777" w:rsidR="004907FB" w:rsidRDefault="00000000">
            <w:pPr>
              <w:rPr>
                <w:rFonts w:hint="eastAsia"/>
              </w:rPr>
            </w:pPr>
            <w:r>
              <w:rPr>
                <w:color w:val="232D3C"/>
                <w:sz w:val="16"/>
              </w:rPr>
              <w:t>Same metrics</w:t>
            </w:r>
          </w:p>
        </w:tc>
        <w:tc>
          <w:tcPr>
            <w:tcW w:w="2556" w:type="dxa"/>
            <w:shd w:val="clear" w:color="auto" w:fill="FFF8ED"/>
            <w:vAlign w:val="center"/>
          </w:tcPr>
          <w:p w14:paraId="6FC564E5" w14:textId="77777777" w:rsidR="004907FB" w:rsidRDefault="00000000">
            <w:pPr>
              <w:rPr>
                <w:rFonts w:hint="eastAsia"/>
              </w:rPr>
            </w:pPr>
            <w:r>
              <w:rPr>
                <w:color w:val="232D3C"/>
                <w:sz w:val="16"/>
              </w:rPr>
              <w:t>Ablation</w:t>
            </w:r>
          </w:p>
        </w:tc>
      </w:tr>
      <w:tr w:rsidR="004907FB" w14:paraId="2471A232" w14:textId="77777777">
        <w:trPr>
          <w:jc w:val="center"/>
        </w:trPr>
        <w:tc>
          <w:tcPr>
            <w:tcW w:w="2556" w:type="dxa"/>
            <w:vAlign w:val="center"/>
          </w:tcPr>
          <w:p w14:paraId="184D5A72" w14:textId="77777777" w:rsidR="004907FB" w:rsidRDefault="00000000">
            <w:pPr>
              <w:rPr>
                <w:rFonts w:hint="eastAsia"/>
              </w:rPr>
            </w:pPr>
            <w:r>
              <w:rPr>
                <w:color w:val="232D3C"/>
                <w:sz w:val="16"/>
              </w:rPr>
              <w:t>ANFE − entity signal</w:t>
            </w:r>
          </w:p>
        </w:tc>
        <w:tc>
          <w:tcPr>
            <w:tcW w:w="2556" w:type="dxa"/>
            <w:vAlign w:val="center"/>
          </w:tcPr>
          <w:p w14:paraId="6A938DFF" w14:textId="77777777" w:rsidR="004907FB" w:rsidRDefault="00000000">
            <w:pPr>
              <w:rPr>
                <w:rFonts w:hint="eastAsia"/>
              </w:rPr>
            </w:pPr>
            <w:r>
              <w:rPr>
                <w:color w:val="232D3C"/>
                <w:sz w:val="16"/>
              </w:rPr>
              <w:t>To evaluate</w:t>
            </w:r>
          </w:p>
        </w:tc>
        <w:tc>
          <w:tcPr>
            <w:tcW w:w="2556" w:type="dxa"/>
            <w:vAlign w:val="center"/>
          </w:tcPr>
          <w:p w14:paraId="39BB6487" w14:textId="77777777" w:rsidR="004907FB" w:rsidRDefault="00000000">
            <w:pPr>
              <w:rPr>
                <w:rFonts w:hint="eastAsia"/>
              </w:rPr>
            </w:pPr>
            <w:r>
              <w:rPr>
                <w:color w:val="232D3C"/>
                <w:sz w:val="16"/>
              </w:rPr>
              <w:t>Same metrics</w:t>
            </w:r>
          </w:p>
        </w:tc>
        <w:tc>
          <w:tcPr>
            <w:tcW w:w="2556" w:type="dxa"/>
            <w:vAlign w:val="center"/>
          </w:tcPr>
          <w:p w14:paraId="650C504E" w14:textId="77777777" w:rsidR="004907FB" w:rsidRDefault="00000000">
            <w:pPr>
              <w:rPr>
                <w:rFonts w:hint="eastAsia"/>
              </w:rPr>
            </w:pPr>
            <w:r>
              <w:rPr>
                <w:color w:val="232D3C"/>
                <w:sz w:val="16"/>
              </w:rPr>
              <w:t>Ablation</w:t>
            </w:r>
          </w:p>
        </w:tc>
      </w:tr>
      <w:tr w:rsidR="004907FB" w14:paraId="0214B3A8" w14:textId="77777777">
        <w:trPr>
          <w:jc w:val="center"/>
        </w:trPr>
        <w:tc>
          <w:tcPr>
            <w:tcW w:w="2556" w:type="dxa"/>
            <w:shd w:val="clear" w:color="auto" w:fill="FFF8ED"/>
            <w:vAlign w:val="center"/>
          </w:tcPr>
          <w:p w14:paraId="3668142F" w14:textId="77777777" w:rsidR="004907FB" w:rsidRDefault="00000000">
            <w:pPr>
              <w:rPr>
                <w:rFonts w:hint="eastAsia"/>
              </w:rPr>
            </w:pPr>
            <w:r>
              <w:rPr>
                <w:color w:val="232D3C"/>
                <w:sz w:val="16"/>
              </w:rPr>
              <w:t>ANFE − structural signal</w:t>
            </w:r>
          </w:p>
        </w:tc>
        <w:tc>
          <w:tcPr>
            <w:tcW w:w="2556" w:type="dxa"/>
            <w:shd w:val="clear" w:color="auto" w:fill="FFF8ED"/>
            <w:vAlign w:val="center"/>
          </w:tcPr>
          <w:p w14:paraId="51DB1582" w14:textId="77777777" w:rsidR="004907FB" w:rsidRDefault="00000000">
            <w:pPr>
              <w:rPr>
                <w:rFonts w:hint="eastAsia"/>
              </w:rPr>
            </w:pPr>
            <w:r>
              <w:rPr>
                <w:color w:val="232D3C"/>
                <w:sz w:val="16"/>
              </w:rPr>
              <w:t>To evaluate</w:t>
            </w:r>
          </w:p>
        </w:tc>
        <w:tc>
          <w:tcPr>
            <w:tcW w:w="2556" w:type="dxa"/>
            <w:shd w:val="clear" w:color="auto" w:fill="FFF8ED"/>
            <w:vAlign w:val="center"/>
          </w:tcPr>
          <w:p w14:paraId="5CD4EC2C" w14:textId="77777777" w:rsidR="004907FB" w:rsidRDefault="00000000">
            <w:pPr>
              <w:rPr>
                <w:rFonts w:hint="eastAsia"/>
              </w:rPr>
            </w:pPr>
            <w:r>
              <w:rPr>
                <w:color w:val="232D3C"/>
                <w:sz w:val="16"/>
              </w:rPr>
              <w:t>Same metrics</w:t>
            </w:r>
          </w:p>
        </w:tc>
        <w:tc>
          <w:tcPr>
            <w:tcW w:w="2556" w:type="dxa"/>
            <w:shd w:val="clear" w:color="auto" w:fill="FFF8ED"/>
            <w:vAlign w:val="center"/>
          </w:tcPr>
          <w:p w14:paraId="6F754CEB" w14:textId="77777777" w:rsidR="004907FB" w:rsidRDefault="00000000">
            <w:pPr>
              <w:rPr>
                <w:rFonts w:hint="eastAsia"/>
              </w:rPr>
            </w:pPr>
            <w:r>
              <w:rPr>
                <w:color w:val="232D3C"/>
                <w:sz w:val="16"/>
              </w:rPr>
              <w:t>Ablation</w:t>
            </w:r>
          </w:p>
        </w:tc>
      </w:tr>
      <w:tr w:rsidR="004907FB" w14:paraId="701AAFA4" w14:textId="77777777">
        <w:trPr>
          <w:jc w:val="center"/>
        </w:trPr>
        <w:tc>
          <w:tcPr>
            <w:tcW w:w="2556" w:type="dxa"/>
            <w:vAlign w:val="center"/>
          </w:tcPr>
          <w:p w14:paraId="6F3CF73D" w14:textId="77777777" w:rsidR="004907FB" w:rsidRDefault="00000000">
            <w:pPr>
              <w:rPr>
                <w:rFonts w:hint="eastAsia"/>
              </w:rPr>
            </w:pPr>
            <w:r>
              <w:rPr>
                <w:color w:val="232D3C"/>
                <w:sz w:val="16"/>
              </w:rPr>
              <w:t>ANFE − source/category signal</w:t>
            </w:r>
          </w:p>
        </w:tc>
        <w:tc>
          <w:tcPr>
            <w:tcW w:w="2556" w:type="dxa"/>
            <w:vAlign w:val="center"/>
          </w:tcPr>
          <w:p w14:paraId="10E5DCBF" w14:textId="77777777" w:rsidR="004907FB" w:rsidRDefault="00000000">
            <w:pPr>
              <w:rPr>
                <w:rFonts w:hint="eastAsia"/>
              </w:rPr>
            </w:pPr>
            <w:r>
              <w:rPr>
                <w:color w:val="232D3C"/>
                <w:sz w:val="16"/>
              </w:rPr>
              <w:t>To evaluate</w:t>
            </w:r>
          </w:p>
        </w:tc>
        <w:tc>
          <w:tcPr>
            <w:tcW w:w="2556" w:type="dxa"/>
            <w:vAlign w:val="center"/>
          </w:tcPr>
          <w:p w14:paraId="5D52400F" w14:textId="77777777" w:rsidR="004907FB" w:rsidRDefault="00000000">
            <w:pPr>
              <w:rPr>
                <w:rFonts w:hint="eastAsia"/>
              </w:rPr>
            </w:pPr>
            <w:r>
              <w:rPr>
                <w:color w:val="232D3C"/>
                <w:sz w:val="16"/>
              </w:rPr>
              <w:t>Same metrics</w:t>
            </w:r>
          </w:p>
        </w:tc>
        <w:tc>
          <w:tcPr>
            <w:tcW w:w="2556" w:type="dxa"/>
            <w:vAlign w:val="center"/>
          </w:tcPr>
          <w:p w14:paraId="377073E3" w14:textId="77777777" w:rsidR="004907FB" w:rsidRDefault="00000000">
            <w:pPr>
              <w:rPr>
                <w:rFonts w:hint="eastAsia"/>
              </w:rPr>
            </w:pPr>
            <w:r>
              <w:rPr>
                <w:color w:val="232D3C"/>
                <w:sz w:val="16"/>
              </w:rPr>
              <w:t>Ablation</w:t>
            </w:r>
          </w:p>
        </w:tc>
      </w:tr>
    </w:tbl>
    <w:p w14:paraId="4AD12129" w14:textId="77777777" w:rsidR="004907FB" w:rsidRDefault="00000000">
      <w:pPr>
        <w:pStyle w:val="Heading1"/>
      </w:pPr>
      <w:r>
        <w:t>7. Academic Positioning</w:t>
      </w:r>
    </w:p>
    <w:p w14:paraId="53F20207" w14:textId="77777777" w:rsidR="004907FB" w:rsidRDefault="00000000">
      <w:pPr>
        <w:rPr>
          <w:rFonts w:hint="eastAsia"/>
        </w:rPr>
      </w:pPr>
      <w:r>
        <w:t>ANFE should not be presented as a completely new machine-learning algorithm unless later literature review and technical evidence support that claim. The defensible current position is that Review-2 proposes a project-specific evidence-fusion and uncertainty-aware workflow, and that its usefulness will be tested through controlled experiments and ablation analysis.</w:t>
      </w:r>
    </w:p>
    <w:p w14:paraId="0644A21C" w14:textId="77777777" w:rsidR="004907FB" w:rsidRDefault="00000000">
      <w:pPr>
        <w:pStyle w:val="Heading1"/>
      </w:pPr>
      <w:r>
        <w:t>8. Research Paper References</w:t>
      </w:r>
    </w:p>
    <w:p w14:paraId="120BBE4D" w14:textId="77777777" w:rsidR="004907FB" w:rsidRDefault="00000000">
      <w:pPr>
        <w:rPr>
          <w:rFonts w:hint="eastAsia"/>
        </w:rPr>
      </w:pPr>
      <w:r>
        <w:rPr>
          <w:sz w:val="17"/>
        </w:rPr>
        <w:t>[1] Zhang, X., Zhao, J., &amp; LeCun, Y. (2015). Character-level Convolutional Networks for Text Classification. NeurIPS 2015. https://arxiv.org/abs/1509.01626</w:t>
      </w:r>
    </w:p>
    <w:p w14:paraId="6790574D" w14:textId="77777777" w:rsidR="004907FB" w:rsidRDefault="00000000">
      <w:pPr>
        <w:rPr>
          <w:rFonts w:hint="eastAsia"/>
        </w:rPr>
      </w:pPr>
      <w:r>
        <w:rPr>
          <w:sz w:val="17"/>
        </w:rPr>
        <w:t>[2] Devlin, J., Chang, M.-W., Lee, K., &amp; Toutanova, K. (2019). BERT: Pre-training of Deep Bidirectional Transformers for Language Understanding. NAACL-HLT 2019. https://aclanthology.org/N19-1423/</w:t>
      </w:r>
    </w:p>
    <w:p w14:paraId="2772222E" w14:textId="77777777" w:rsidR="004907FB" w:rsidRDefault="00000000">
      <w:pPr>
        <w:rPr>
          <w:rFonts w:hint="eastAsia"/>
        </w:rPr>
      </w:pPr>
      <w:r>
        <w:rPr>
          <w:sz w:val="17"/>
        </w:rPr>
        <w:t>[3] Pires, T., Schlinger, E., &amp; Garrette, D. (2019). How Multilingual is Multilingual BERT? ACL 2019. https://aclanthology.org/P19-1493/</w:t>
      </w:r>
    </w:p>
    <w:p w14:paraId="60960631" w14:textId="77777777" w:rsidR="004907FB" w:rsidRDefault="00000000">
      <w:pPr>
        <w:rPr>
          <w:rFonts w:hint="eastAsia"/>
        </w:rPr>
      </w:pPr>
      <w:r>
        <w:rPr>
          <w:sz w:val="17"/>
        </w:rPr>
        <w:t>[4] Conneau, A., Khandelwal, K., Goyal, N., et al. (2020). Unsupervised Cross-lingual Representation Learning at Scale. ACL 2020. https://aclanthology.org/2020.acl-main.747/</w:t>
      </w:r>
    </w:p>
    <w:p w14:paraId="76786A94" w14:textId="77777777" w:rsidR="004907FB" w:rsidRDefault="00000000">
      <w:pPr>
        <w:rPr>
          <w:rFonts w:hint="eastAsia"/>
        </w:rPr>
      </w:pPr>
      <w:r>
        <w:rPr>
          <w:sz w:val="17"/>
        </w:rPr>
        <w:t>[5] Wiriyathammabhum, P. (2022). ClassBases at the CASE-2022 Multilingual Protest Event Detection Task. CASE 2022. https://aclanthology.org/2022.case-1.21/</w:t>
      </w:r>
    </w:p>
    <w:p w14:paraId="049D955F" w14:textId="77777777" w:rsidR="004907FB" w:rsidRDefault="00000000">
      <w:pPr>
        <w:rPr>
          <w:rFonts w:hint="eastAsia"/>
        </w:rPr>
      </w:pPr>
      <w:r>
        <w:rPr>
          <w:sz w:val="17"/>
        </w:rPr>
        <w:t>[6] Wu, B., Razuvayevskaya, O., Heppell, F., Leite, J. A., Scarton, C., Bontcheva, K., &amp; Song, X. (2023). SheffieldVeraAI at SemEval-2023 Task 3. SemEval 2023. https://aclanthology.org/volumes/2023.semeval-1/</w:t>
      </w:r>
    </w:p>
    <w:p w14:paraId="2C781CAE" w14:textId="77777777" w:rsidR="004907FB" w:rsidRDefault="00000000">
      <w:pPr>
        <w:rPr>
          <w:rFonts w:hint="eastAsia"/>
        </w:rPr>
      </w:pPr>
      <w:r>
        <w:rPr>
          <w:sz w:val="17"/>
        </w:rPr>
        <w:t>[7] Mirashi, A., Sonavane, S., Lingayat, P., Padhiyar, T., &amp; Joshi, R. (2023). L3Cube-IndicNews: News-based Short Text and Long Document Classification Datasets in Indic languages. ICON 2023, 442–449. https://aclanthology.org/2023.icon-1.37/</w:t>
      </w:r>
    </w:p>
    <w:p w14:paraId="16F0F769" w14:textId="77777777" w:rsidR="004907FB" w:rsidRDefault="00000000">
      <w:pPr>
        <w:rPr>
          <w:rFonts w:hint="eastAsia"/>
        </w:rPr>
      </w:pPr>
      <w:r>
        <w:rPr>
          <w:sz w:val="17"/>
        </w:rPr>
        <w:t>[8] Dufraisse, E., Popescu, A., Tourille, J., Brun, A., &amp; Deshayes, J. (2023). MAD-TSC: A Multilingual Aligned News Dataset for Target-dependent Sentiment Classification. ACL 2023, 8286–8305. https://aclanthology.org/2023.acl-long.461/</w:t>
      </w:r>
    </w:p>
    <w:p w14:paraId="35503376" w14:textId="77777777" w:rsidR="004907FB" w:rsidRDefault="00000000">
      <w:pPr>
        <w:rPr>
          <w:rFonts w:hint="eastAsia"/>
        </w:rPr>
      </w:pPr>
      <w:r>
        <w:rPr>
          <w:sz w:val="17"/>
        </w:rPr>
        <w:t>[9] Cortes, C., &amp; Vapnik, V. (1995). Support-vector networks. Machine Learning, 20, 273–297. https://doi.org/10.1007/BF00994018</w:t>
      </w:r>
    </w:p>
    <w:p w14:paraId="60D3182C" w14:textId="77777777" w:rsidR="004907FB" w:rsidRDefault="00000000">
      <w:pPr>
        <w:rPr>
          <w:rFonts w:hint="eastAsia"/>
        </w:rPr>
      </w:pPr>
      <w:r>
        <w:rPr>
          <w:sz w:val="17"/>
        </w:rPr>
        <w:t>[10] Joachims, T. (1998). Text Categorization with Support Vector Machines: Learning with Many Relevant Features. ECML 1998.</w:t>
      </w:r>
    </w:p>
    <w:p w14:paraId="1D5335D0" w14:textId="77777777" w:rsidR="004907FB" w:rsidRDefault="00000000">
      <w:pPr>
        <w:pStyle w:val="Heading1"/>
      </w:pPr>
      <w:r>
        <w:lastRenderedPageBreak/>
        <w:t>9. Source Note</w:t>
      </w:r>
    </w:p>
    <w:p w14:paraId="1C4440A2" w14:textId="77777777" w:rsidR="004907FB" w:rsidRDefault="00000000">
      <w:pPr>
        <w:rPr>
          <w:rFonts w:hint="eastAsia"/>
        </w:rPr>
      </w:pPr>
      <w:r>
        <w:t>The ten papers above correspond to the ten references already present in the team's current research-paper draft. Project-specific Review-1 facts are based on that draft: 1,445 English records in the three-class experiment, stratified 80/20 split, and 80.28% accuracy with 79.80% weighted F1 on 289 held-out samples. Publication details and descriptions were cross-checked against the cited publication records.</w:t>
      </w:r>
    </w:p>
    <w:sectPr w:rsidR="004907F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900615">
    <w:abstractNumId w:val="8"/>
  </w:num>
  <w:num w:numId="2" w16cid:durableId="1752852482">
    <w:abstractNumId w:val="6"/>
  </w:num>
  <w:num w:numId="3" w16cid:durableId="1203056504">
    <w:abstractNumId w:val="5"/>
  </w:num>
  <w:num w:numId="4" w16cid:durableId="1474565263">
    <w:abstractNumId w:val="4"/>
  </w:num>
  <w:num w:numId="5" w16cid:durableId="1514145254">
    <w:abstractNumId w:val="7"/>
  </w:num>
  <w:num w:numId="6" w16cid:durableId="1890149096">
    <w:abstractNumId w:val="3"/>
  </w:num>
  <w:num w:numId="7" w16cid:durableId="1291327154">
    <w:abstractNumId w:val="2"/>
  </w:num>
  <w:num w:numId="8" w16cid:durableId="1760175829">
    <w:abstractNumId w:val="1"/>
  </w:num>
  <w:num w:numId="9" w16cid:durableId="106568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E85"/>
    <w:rsid w:val="0029639D"/>
    <w:rsid w:val="00326F90"/>
    <w:rsid w:val="004907FB"/>
    <w:rsid w:val="007349AD"/>
    <w:rsid w:val="00AA1D8D"/>
    <w:rsid w:val="00B3423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C15AE"/>
  <w14:defaultImageDpi w14:val="300"/>
  <w15:docId w15:val="{278A19F1-FB59-4F17-85AE-E18A61C1C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B9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91A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4B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1829</Words>
  <Characters>10428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Mini-Hackathon 2 - Comparative Analysis of 10 Research Papers</dc:title>
  <dc:subject>Comparative analysis and research gap identification for Review-2</dc:subject>
  <dc:creator>python-docx</dc:creator>
  <cp:keywords/>
  <dc:description>generated by python-docx</dc:description>
  <cp:lastModifiedBy>Surya Prathap Gangumalla</cp:lastModifiedBy>
  <cp:revision>2</cp:revision>
  <dcterms:created xsi:type="dcterms:W3CDTF">2026-09-24T04:49:00Z</dcterms:created>
  <dcterms:modified xsi:type="dcterms:W3CDTF">2026-09-24T04:49:00Z</dcterms:modified>
  <cp:category/>
</cp:coreProperties>
</file>