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b/>
          <w:bCs/>
          <w:color w:val="1F6391"/>
          <w:sz w:val="32"/>
          <w:szCs w:val="32"/>
        </w:rPr>
        <w:t xml:space="preserve">Software Architecture and Design Specification</w:t>
      </w:r>
    </w:p>
    <w:p>
      <w:pPr>
        <w:spacing w:after="60"/>
      </w:pPr>
      <w:r>
        <w:rPr>
          <w:b/>
          <w:bCs/>
        </w:rPr>
        <w:t xml:space="preserve">Project: </w:t>
      </w:r>
      <w:r>
        <w:t xml:space="preserve">Smart Expense and Budget Management Application (SEBM)</w:t>
      </w:r>
    </w:p>
    <w:p>
      <w:pPr>
        <w:spacing w:after="60"/>
      </w:pPr>
      <w:r>
        <w:rPr>
          <w:b/>
          <w:bCs/>
        </w:rPr>
        <w:t xml:space="preserve">Version: </w:t>
      </w:r>
      <w:r>
        <w:t xml:space="preserve">1.1</w:t>
      </w:r>
    </w:p>
    <w:p>
      <w:pPr>
        <w:spacing w:after="60"/>
      </w:pPr>
      <w:r>
        <w:rPr>
          <w:b/>
          <w:bCs/>
        </w:rPr>
        <w:t xml:space="preserve">Authors: </w:t>
      </w:r>
      <w:r>
        <w:t xml:space="preserve">Taran S (PES2UG24CS555), Suryatej Vojjala (PES2UG24CS541), Sujay P Nayak (PES2UG24CS533), Surya Raju Naik (PES2UG24CS540)</w:t>
      </w:r>
    </w:p>
    <w:p>
      <w:pPr>
        <w:spacing w:after="60"/>
      </w:pPr>
      <w:r>
        <w:rPr>
          <w:b/>
          <w:bCs/>
        </w:rPr>
        <w:t xml:space="preserve">Date: </w:t>
      </w:r>
      <w:r>
        <w:t xml:space="preserve">11-10-2026</w:t>
      </w:r>
    </w:p>
    <w:p>
      <w:pPr>
        <w:spacing w:after="60"/>
      </w:pPr>
      <w:r>
        <w:rPr>
          <w:b/>
          <w:bCs/>
        </w:rPr>
        <w:t xml:space="preserve">Status: </w:t>
      </w:r>
      <w:r>
        <w:t xml:space="preserve">Draft</w:t>
      </w:r>
    </w:p>
    <w:p>
      <w:pPr>
        <w:pStyle w:val="Heading1"/>
        <w:spacing w:after="140" w:before="280"/>
      </w:pPr>
      <w:r>
        <w:rPr>
          <w:b/>
          <w:bCs/>
          <w:color w:val="1F6391"/>
        </w:rPr>
        <w:t xml:space="preserve">Revision History</w:t>
      </w:r>
    </w:p>
    <w:tbl>
      <w:tblPr>
        <w:tblW w:type="dxa" w:w="1042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2600"/>
        <w:gridCol w:w="4628"/>
      </w:tblGrid>
      <w:tr>
        <w:trPr>
          <w:tblHeader/>
        </w:trP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639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639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639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dxa" w:w="46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639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Change Summary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15-09-2026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Taran S</w:t>
            </w:r>
          </w:p>
        </w:tc>
        <w:tc>
          <w:tcPr>
            <w:tcW w:type="dxa" w:w="46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Initial draft of the Software Architecture and Design Specification, based on SRS v3.0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1.1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11-10-2026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Taran S</w:t>
            </w:r>
          </w:p>
        </w:tc>
        <w:tc>
          <w:tcPr>
            <w:tcW w:type="dxa" w:w="46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Aligned with SRS v4.0: per-requirement traceability for all 27 Req IDs; corrected requirement references for registration/OTP flow</w:t>
            </w:r>
          </w:p>
        </w:tc>
      </w:tr>
    </w:tbl>
    <w:p>
      <w:pPr>
        <w:pStyle w:val="Heading1"/>
        <w:spacing w:after="140" w:before="280"/>
      </w:pPr>
      <w:r>
        <w:rPr>
          <w:b/>
          <w:bCs/>
          <w:color w:val="1F6391"/>
        </w:rPr>
        <w:t xml:space="preserve">Approvals</w:t>
      </w:r>
    </w:p>
    <w:tbl>
      <w:tblPr>
        <w:tblW w:type="dxa" w:w="1042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000"/>
        <w:gridCol w:w="3628"/>
      </w:tblGrid>
      <w:tr>
        <w:trPr>
          <w:tblHeader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639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639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36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639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Signature / Date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Course Coordinator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Niveditha Reddy</w:t>
            </w:r>
          </w:p>
        </w:tc>
        <w:tc>
          <w:tcPr>
            <w:tcW w:type="dxa" w:w="36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Team Lead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Taran S, PES2UG24CS555</w:t>
            </w:r>
          </w:p>
        </w:tc>
        <w:tc>
          <w:tcPr>
            <w:tcW w:type="dxa" w:w="36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Team Member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Suryatej Vojjala, PES2UG24CS541</w:t>
            </w:r>
          </w:p>
        </w:tc>
        <w:tc>
          <w:tcPr>
            <w:tcW w:type="dxa" w:w="36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Team Member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Sujay P Nayak, PES2UG24CS533</w:t>
            </w:r>
          </w:p>
        </w:tc>
        <w:tc>
          <w:tcPr>
            <w:tcW w:type="dxa" w:w="36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Team Member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Surya Raju Naik, PES2UG24CS540</w:t>
            </w:r>
          </w:p>
        </w:tc>
        <w:tc>
          <w:tcPr>
            <w:tcW w:type="dxa" w:w="36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pStyle w:val="Heading1"/>
        <w:spacing w:after="140" w:before="280"/>
      </w:pPr>
      <w:r>
        <w:rPr>
          <w:b/>
          <w:bCs/>
          <w:color w:val="1F6391"/>
        </w:rPr>
        <w:t xml:space="preserve">1. Introduction</w:t>
      </w:r>
    </w:p>
    <w:p>
      <w:pPr>
        <w:pStyle w:val="Heading2"/>
        <w:spacing w:after="100" w:before="200"/>
      </w:pPr>
      <w:r>
        <w:rPr>
          <w:b/>
          <w:bCs/>
          <w:color w:val="1F6391"/>
        </w:rPr>
        <w:t xml:space="preserve">1.1 Purpose</w:t>
      </w:r>
    </w:p>
    <w:p>
      <w:pPr>
        <w:spacing w:after="120"/>
      </w:pPr>
      <w:r>
        <w:t xml:space="preserve">This document specifies the software architecture and design of the Smart Expense and Budget Management Application (SEBM). It translates the approved SEBM Software Requirements Specification (SRS v4.0) into a concrete system architecture, component design, and interface definitions to guide implementation.</w:t>
      </w:r>
    </w:p>
    <w:p>
      <w:pPr>
        <w:pStyle w:val="Heading2"/>
        <w:spacing w:after="100" w:before="200"/>
      </w:pPr>
      <w:r>
        <w:rPr>
          <w:b/>
          <w:bCs/>
          <w:color w:val="1F6391"/>
        </w:rPr>
        <w:t xml:space="preserve">1.2 Scope</w:t>
      </w:r>
    </w:p>
    <w:p>
      <w:pPr>
        <w:spacing w:after="120"/>
      </w:pPr>
      <w:r>
        <w:t xml:space="preserve">Covers the end-to-end application architecture: client applications (mobile/web), the backend REST API, core service modules (Auth, Transaction, Budget, Account, Report, Notification, Admin), data storage, and integrations with external notification and cloud-storage providers. Excludes core banking transaction-processing integration and investment/tax-filing functionality, which remain future scope per the SRS.</w:t>
      </w:r>
    </w:p>
    <w:p>
      <w:pPr>
        <w:pStyle w:val="Heading2"/>
        <w:spacing w:after="100" w:before="200"/>
      </w:pPr>
      <w:r>
        <w:rPr>
          <w:b/>
          <w:bCs/>
          <w:color w:val="1F6391"/>
        </w:rPr>
        <w:t xml:space="preserve">1.3 Audience</w:t>
      </w:r>
    </w:p>
    <w:p>
      <w:pPr>
        <w:spacing w:after="120"/>
      </w:pPr>
      <w:r>
        <w:t xml:space="preserve">Developers, QA engineers, security reviewers, the Course Coordinator/Project Supervisor, and future maintainers.</w:t>
      </w:r>
    </w:p>
    <w:p>
      <w:pPr>
        <w:pStyle w:val="Heading2"/>
        <w:spacing w:after="100" w:before="200"/>
      </w:pPr>
      <w:r>
        <w:rPr>
          <w:b/>
          <w:bCs/>
          <w:color w:val="1F6391"/>
        </w:rPr>
        <w:t xml:space="preserve">1.4 Definitions</w:t>
      </w:r>
    </w:p>
    <w:p>
      <w:pPr>
        <w:spacing w:after="120"/>
      </w:pPr>
      <w:r>
        <w:t xml:space="preserve">SEBM (Smart Expense and Budget Management), UI (User Interface), API (Application Programming Interface), OTP (One-Time Password), CSV (Comma-Separated Values), PDF (Portable Document Format), AES (Advanced Encryption Standard), TLS (Transport Layer Security), RBAC (Role-Based Access Control), WCAG (Web Content Accessibility Guidelines), JWT (JSON Web Token), ADR (Architecture Decision Record), STRIDE (Spoofing, Tampering, Repudiation, Information disclosure, Denial of service, Elevation of privilege).</w:t>
      </w:r>
    </w:p>
    <w:p>
      <w:pPr>
        <w:pStyle w:val="Heading1"/>
        <w:spacing w:after="140" w:before="280"/>
      </w:pPr>
      <w:r>
        <w:rPr>
          <w:b/>
          <w:bCs/>
          <w:color w:val="1F6391"/>
        </w:rPr>
        <w:t xml:space="preserve">2. Document Overview</w:t>
      </w:r>
    </w:p>
    <w:p>
      <w:pPr>
        <w:pStyle w:val="Heading2"/>
        <w:spacing w:after="100" w:before="200"/>
      </w:pPr>
      <w:r>
        <w:rPr>
          <w:b/>
          <w:bCs/>
          <w:color w:val="1F6391"/>
        </w:rPr>
        <w:t xml:space="preserve">2.1 How to use this document</w:t>
      </w:r>
    </w:p>
    <w:p>
      <w:pPr>
        <w:spacing w:after="120"/>
      </w:pPr>
      <w:r>
        <w:t xml:space="preserve">Provides the architectural deliverables for SEBM: a component diagram, sequence diagrams for key flows, chosen technology stack, API design, and the security/threat model. It should be read alongside the SRS and Test Plan for full requirement and verification context.</w:t>
      </w:r>
    </w:p>
    <w:p>
      <w:pPr>
        <w:pStyle w:val="Heading2"/>
        <w:spacing w:after="100" w:before="200"/>
      </w:pPr>
      <w:r>
        <w:rPr>
          <w:b/>
          <w:bCs/>
          <w:color w:val="1F6391"/>
        </w:rPr>
        <w:t xml:space="preserve">2.2 Related Documents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SEBM Software Requirements Specification (SRS) v4.0 (itemized requirements in Sections 4.3-4.6; full RTM)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SEBM Software Test Plan (STP) v1.0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SEBM UML Use-Case Diagrams (Diagrams 1-2, SRS Section 7.1)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SEBM Entity-Relationship Diagram (Diagram 3, SRS Section 7.2)</w:t>
      </w:r>
    </w:p>
    <w:p>
      <w:pPr>
        <w:pStyle w:val="Heading1"/>
        <w:spacing w:after="140" w:before="280"/>
      </w:pPr>
      <w:r>
        <w:rPr>
          <w:b/>
          <w:bCs/>
          <w:color w:val="1F6391"/>
        </w:rPr>
        <w:t xml:space="preserve">3. Architecture</w:t>
      </w:r>
    </w:p>
    <w:p>
      <w:pPr>
        <w:pStyle w:val="Heading2"/>
        <w:spacing w:after="100" w:before="200"/>
      </w:pPr>
      <w:r>
        <w:rPr>
          <w:b/>
          <w:bCs/>
          <w:color w:val="1F6391"/>
        </w:rPr>
        <w:t xml:space="preserve">3.1 Goals &amp; Constraints</w:t>
      </w:r>
    </w:p>
    <w:p>
      <w:pPr>
        <w:spacing w:after="120"/>
      </w:pPr>
      <w:r>
        <w:rPr>
          <w:b/>
          <w:bCs/>
        </w:rPr>
        <w:t xml:space="preserve">Goals: </w:t>
      </w:r>
      <w:r>
        <w:t xml:space="preserve">Secure handling of personal financial data; 99.5% monthly availability (SEBM-NF-002); response time ≤ 2s for 90% of requests (SEBM-NF-001); support scaling to at least 10,000 concurrent users without redesign (SEBM-NF-005); WCAG 2.1 AA accessibility (SEBM-NF-004).</w:t>
      </w:r>
    </w:p>
    <w:p>
      <w:pPr>
        <w:spacing w:after="120"/>
      </w:pPr>
      <w:r>
        <w:rPr>
          <w:b/>
          <w:bCs/>
        </w:rPr>
        <w:t xml:space="preserve">Constraints: </w:t>
      </w:r>
      <w:r>
        <w:t xml:space="preserve">Must comply with applicable data-protection regulations for personal financial data; no plaintext password storage; reliance on third-party notification/email services for alerts; must target common mobile OS versions in use at development time; delivered by a 4-member student team within a capstone timeline.</w:t>
      </w:r>
    </w:p>
    <w:p>
      <w:pPr>
        <w:pStyle w:val="Heading2"/>
        <w:spacing w:after="100" w:before="200"/>
      </w:pPr>
      <w:r>
        <w:rPr>
          <w:b/>
          <w:bCs/>
          <w:color w:val="1F6391"/>
        </w:rPr>
        <w:t xml:space="preserve">3.2 Stakeholders &amp; Concerns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End Users: data privacy, ease of use, accurate balances and budgets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Admin: manageability of categories/users, visibility into system health and support escalations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Course Coordinator / Evaluators: adherence to the approved SRS, demonstrable architecture quality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Developers (project team): modularity, maintainability, and clear per-module ownership</w:t>
      </w:r>
    </w:p>
    <w:p>
      <w:pPr>
        <w:pStyle w:val="Heading2"/>
        <w:spacing w:after="100" w:before="200"/>
      </w:pPr>
      <w:r>
        <w:rPr>
          <w:b/>
          <w:bCs/>
          <w:color w:val="1F6391"/>
        </w:rPr>
        <w:t xml:space="preserve">3.3 Component (UML) Diagram</w:t>
      </w:r>
    </w:p>
    <w:p>
      <w:pPr>
        <w:spacing w:after="120" w:before="120"/>
        <w:jc w:val="center"/>
      </w:pPr>
      <w:r>
        <w:drawing>
          <wp:inline distT="0" distB="0" distL="0" distR="0">
            <wp:extent cx="5943600" cy="3590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20"/>
          <w:szCs w:val="20"/>
        </w:rPr>
        <w:t xml:space="preserve">Diagram 1: SEBM Application - Component Diagram</w:t>
      </w:r>
    </w:p>
    <w:p>
      <w:pPr>
        <w:pStyle w:val="Heading2"/>
        <w:spacing w:after="100" w:before="200"/>
      </w:pPr>
      <w:r>
        <w:rPr>
          <w:b/>
          <w:bCs/>
          <w:color w:val="1F6391"/>
        </w:rPr>
        <w:t xml:space="preserve">3.4 Component Descriptions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Client Applications: mobile (Android/iOS) and responsive web clients; dashboard, transaction entry, and budget views.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API Gateway / Backend REST API: single entry point for all client requests; enforces TLS and authentication, and routes requests to service modules.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Auth Service: registration, login, password reset, session management, and RBAC enforcement (SEBM-F-001..003, SEBM-SR-002/004/005).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Transaction Service: add/edit/delete transactions and receipt-photo attachment (SEBM-F-010..013).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Budget Service: budget creation and real-time threshold tracking; triggers alerts (SEBM-F-020..022).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Account Service: multi-account management and transfers between accounts (SEBM-F-030..031).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Report Service: spending/income analytics, charts, and PDF/CSV export (SEBM-F-040..042).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Notification Service: dispatches budget-threshold alerts and bill reminders via push/email/SMS (SEBM-F-050..051).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Admin Service: category management, user administration, and support escalations.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Database (PostgreSQL): persistent storage for all entities (Users, Accounts, Categories, Transactions, Budgets, Receipts, Notifications).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Cloud Storage: stores receipt images, referenced by the Transaction Service (SEBM-F-012).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Notification Provider: external email/push/SMS delivery used by the Notification Service.</w:t>
      </w:r>
    </w:p>
    <w:p>
      <w:pPr>
        <w:pStyle w:val="Heading2"/>
        <w:spacing w:after="100" w:before="200"/>
      </w:pPr>
      <w:r>
        <w:rPr>
          <w:b/>
          <w:bCs/>
          <w:color w:val="1F6391"/>
        </w:rPr>
        <w:t xml:space="preserve">3.5 Chosen Architecture Pattern and Rationale</w:t>
      </w:r>
    </w:p>
    <w:p>
      <w:pPr>
        <w:spacing w:after="120"/>
      </w:pPr>
      <w:r>
        <w:t xml:space="preserve">A layered / modular-monolith architecture was chosen: a single backend deployable organized into clearly bounded service modules (Auth, Transaction, Budget, Account, Report, Notification, Admin), each internally layered as controller → service → repository. This gives the team clear module ownership that mirrors the SRS's per-student module split, while avoiding the operational overhead of full microservices - rejected as unnecessary complexity for a capstone-scale application sharing a single database. Module boundaries are kept deliberately clean so that individual services could be extracted into independent deployables later if the 10,000-concurrent-user scalability target (SEBM-NF-005) requires it.</w:t>
      </w:r>
    </w:p>
    <w:p>
      <w:pPr>
        <w:pStyle w:val="Heading2"/>
        <w:spacing w:after="100" w:before="200"/>
      </w:pPr>
      <w:r>
        <w:rPr>
          <w:b/>
          <w:bCs/>
          <w:color w:val="1F6391"/>
        </w:rPr>
        <w:t xml:space="preserve">3.6 Technology Stack &amp; Data Stores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Backend: Node.js + Express REST API, organized into Auth/Transaction/Budget/Account/Report/Notification/Admin modules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Database: PostgreSQL (relational, enforces the FK constraints defined in the SEBM ER diagram)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Mobile client: React Native (single codebase for Android and iOS)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 client: React (responsive, mobile-first dashboard)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Authentication: JWT-based sessions; passwords hashed with bcrypt/Argon2 (SEBM-SR-002)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Receipt storage: AWS S3 / Firebase Storage via a Cloud Storage API (SEBM-F-012)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Notifications: Firebase Cloud Messaging (push), SendGrid (email), optional SMS gateway (SEBM-F-050..051)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Transport security: TLS 1.2+ enforced on all client-server connections (SEBM-SR-001)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Deployment: containerized (Docker) on a managed cloud platform, enabling horizontal scaling of the API layer</w:t>
      </w:r>
    </w:p>
    <w:p>
      <w:pPr>
        <w:pStyle w:val="Heading2"/>
        <w:spacing w:after="100" w:before="200"/>
      </w:pPr>
      <w:r>
        <w:rPr>
          <w:b/>
          <w:bCs/>
          <w:color w:val="1F6391"/>
        </w:rPr>
        <w:t xml:space="preserve">3.7 Risks &amp; Mitigations</w:t>
      </w:r>
    </w:p>
    <w:tbl>
      <w:tblPr>
        <w:tblW w:type="dxa" w:w="1022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14"/>
        <w:gridCol w:w="5114"/>
      </w:tblGrid>
      <w:tr>
        <w:trPr>
          <w:tblHeader/>
        </w:trPr>
        <w:tc>
          <w:tcPr>
            <w:tcW w:type="dxa" w:w="51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639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51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639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51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Third-party notification provider outage or rate-limiting</w:t>
            </w:r>
          </w:p>
        </w:tc>
        <w:tc>
          <w:tcPr>
            <w:tcW w:type="dxa" w:w="51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Queue + retry with backoff; provider-abstraction layer so the provider can be swapped</w:t>
            </w:r>
          </w:p>
        </w:tc>
      </w:tr>
      <w:tr>
        <w:tc>
          <w:tcPr>
            <w:tcW w:type="dxa" w:w="51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Shared single database becomes a bottleneck at scale</w:t>
            </w:r>
          </w:p>
        </w:tc>
        <w:tc>
          <w:tcPr>
            <w:tcW w:type="dxa" w:w="51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Connection pooling / read replicas; clean module boundaries allow splitting services out later</w:t>
            </w:r>
          </w:p>
        </w:tc>
      </w:tr>
      <w:tr>
        <w:tc>
          <w:tcPr>
            <w:tcW w:type="dxa" w:w="51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Cloud storage dependency for receipt images</w:t>
            </w:r>
          </w:p>
        </w:tc>
        <w:tc>
          <w:tcPr>
            <w:tcW w:type="dxa" w:w="51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Asynchronous upload with local queuing; graceful degradation if storage is temporarily unavailable</w:t>
            </w:r>
          </w:p>
        </w:tc>
      </w:tr>
      <w:tr>
        <w:tc>
          <w:tcPr>
            <w:tcW w:type="dxa" w:w="51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Session or credential compromise</w:t>
            </w:r>
          </w:p>
        </w:tc>
        <w:tc>
          <w:tcPr>
            <w:tcW w:type="dxa" w:w="51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TLS everywhere, salted password hashing, short-lived JWTs with refresh tokens, RBAC</w:t>
            </w:r>
          </w:p>
        </w:tc>
      </w:tr>
    </w:tbl>
    <w:p>
      <w:pPr>
        <w:pStyle w:val="Heading2"/>
        <w:spacing w:after="100" w:before="200"/>
      </w:pPr>
      <w:r>
        <w:rPr>
          <w:b/>
          <w:bCs/>
          <w:color w:val="1F6391"/>
        </w:rPr>
        <w:t xml:space="preserve">3.8 Traceability to Requirements</w:t>
      </w:r>
    </w:p>
    <w:p>
      <w:pPr>
        <w:spacing w:after="120"/>
      </w:pPr>
      <w:r>
        <w:t xml:space="preserve">Every SRS v4.0 requirement ID maps to the component(s) responsible for it:</w:t>
      </w:r>
    </w:p>
    <w:tbl>
      <w:tblPr>
        <w:tblW w:type="dxa" w:w="1022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028"/>
        <w:gridCol w:w="3200"/>
      </w:tblGrid>
      <w:tr>
        <w:trPr>
          <w:tblHeader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639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 ID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639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Component(s)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639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Design reference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SEBM-F-001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Auth Service (+ Email/OTP service)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Seq. Diagram 3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SEBM-F-002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Auth Service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SEBM-F-003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Auth Service (+ Email/OTP service)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SEBM-F-010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Transaction Service, Account Service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Seq. Diagram 2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SEBM-F-011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Transaction Service, Account Service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SEBM-F-012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Transaction Service + Cloud Storage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SEBM-F-013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Transaction Service (category handling), Admin Service (predefined list)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SEBM-F-020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Budget Service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SEBM-F-021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Budget Service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Seq. Diagram 2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SEBM-F-022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Budget Service → Notification Service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Seq. Diagram 2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SEBM-F-030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Account Service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SEBM-F-031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Account Service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API: POST /accounts/transfer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SEBM-F-040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Report Service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SEBM-F-041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Report Service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SEBM-F-042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Report Service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SEBM-F-050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Notification Service + Notification Provider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Seq. Diagram 2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SEBM-F-051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Notification Service + Notification Provider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SEBM-NF-001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API Gateway + Database (performance)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SEBM-NF-002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Deployment / Infrastructure (availability)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SEBM-NF-003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TLS layer + Database encryption at rest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SEBM-NF-004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Client Applications (accessibility)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SEBM-NF-005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API Gateway + horizontally scalable API layer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SEBM-SR-001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API Gateway (TLS 1.2+)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SEBM-SR-002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Auth Service (bcrypt/Argon2 hashing)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Seq. Diagram 3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SEBM-SR-003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Database (AES-256 at rest)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SEBM-SR-004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Auth Service (session timeout)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SEBM-SR-005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Auth Service (RBAC) + Admin Service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</w:tbl>
    <w:p>
      <w:pPr>
        <w:pStyle w:val="Heading2"/>
        <w:spacing w:after="100" w:before="200"/>
      </w:pPr>
      <w:r>
        <w:rPr>
          <w:b/>
          <w:bCs/>
          <w:color w:val="1F6391"/>
        </w:rPr>
        <w:t xml:space="preserve">3.9 Security Architecture</w:t>
      </w:r>
    </w:p>
    <w:p>
      <w:pPr>
        <w:spacing w:after="120"/>
      </w:pPr>
      <w:r>
        <w:t xml:space="preserve">Threat modeling (STRIDE):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Spoofing → JWT-based authentication plus email/OTP verification at registration (SEBM-F-001, SEBM-SR-002)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Tampering → TLS 1.2+ in transit, server-side validation of all inputs, AES-256 encryption at rest for sensitive fields (SEBM-SR-001/003)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Repudiation → server-side audit logging of authentication and admin actions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Information Disclosure → TLS everywhere, encryption at rest, least-privilege database access, no sensitive data written to logs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Denial of Service → rate limiting at the API Gateway, backend auto-scaling (SEBM-NF-005)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Elevation of Privilege → RBAC enforced at the API Gateway and Auth Service; only the Admin role can reach admin endpoints (SEBM-SR-005)</w:t>
      </w:r>
    </w:p>
    <w:p>
      <w:pPr>
        <w:pStyle w:val="Heading1"/>
        <w:spacing w:after="140" w:before="280"/>
      </w:pPr>
      <w:r>
        <w:rPr>
          <w:b/>
          <w:bCs/>
          <w:color w:val="1F6391"/>
        </w:rPr>
        <w:t xml:space="preserve">4. Design</w:t>
      </w:r>
    </w:p>
    <w:p>
      <w:pPr>
        <w:pStyle w:val="Heading2"/>
        <w:spacing w:after="100" w:before="200"/>
      </w:pPr>
      <w:r>
        <w:rPr>
          <w:b/>
          <w:bCs/>
          <w:color w:val="1F6391"/>
        </w:rPr>
        <w:t xml:space="preserve">4.1 Design Overview</w:t>
      </w:r>
    </w:p>
    <w:p>
      <w:pPr>
        <w:spacing w:after="120"/>
      </w:pPr>
      <w:r>
        <w:t xml:space="preserve">SEBM is designed as a layered, modular backend behind a single API Gateway, with thin client applications (mobile/web) that call REST endpoints for all state changes. Each service module encapsulates its own data-access logic against PostgreSQL, keeping transaction, budget, and account consistency logic centralized rather than duplicated across clients.</w:t>
      </w:r>
    </w:p>
    <w:p>
      <w:pPr>
        <w:pStyle w:val="Heading2"/>
        <w:spacing w:after="100" w:before="200"/>
      </w:pPr>
      <w:r>
        <w:rPr>
          <w:b/>
          <w:bCs/>
          <w:color w:val="1F6391"/>
        </w:rPr>
        <w:t xml:space="preserve">4.2 UML Sequence Diagrams</w:t>
      </w:r>
    </w:p>
    <w:p>
      <w:pPr>
        <w:spacing w:after="120"/>
      </w:pPr>
      <w:r>
        <w:t xml:space="preserve">Two sequence diagrams covering flows specific to SEBM:</w:t>
      </w:r>
    </w:p>
    <w:p>
      <w:pPr>
        <w:spacing w:after="120" w:before="120"/>
        <w:jc w:val="center"/>
      </w:pPr>
      <w:r>
        <w:drawing>
          <wp:inline distT="0" distB="0" distL="0" distR="0">
            <wp:extent cx="5943600" cy="4124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20"/>
          <w:szCs w:val="20"/>
        </w:rPr>
        <w:t xml:space="preserve">Diagram 2: Add Expense/Income Transaction with Budget Threshold Alert (SEBM-F-010, SEBM-F-020/022, SEBM-F-050)</w:t>
      </w:r>
    </w:p>
    <w:p>
      <w:pPr>
        <w:spacing w:after="120" w:before="120"/>
        <w:jc w:val="center"/>
      </w:pPr>
      <w:r>
        <w:drawing>
          <wp:inline distT="0" distB="0" distL="0" distR="0">
            <wp:extent cx="5943600" cy="4448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4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20"/>
          <w:szCs w:val="20"/>
        </w:rPr>
        <w:t xml:space="preserve">Diagram 3: User Registration &amp; Email/OTP Verification (SEBM-F-001, SEBM-SR-002)</w:t>
      </w:r>
    </w:p>
    <w:p>
      <w:pPr>
        <w:pStyle w:val="Heading2"/>
        <w:spacing w:after="100" w:before="200"/>
      </w:pPr>
      <w:r>
        <w:rPr>
          <w:b/>
          <w:bCs/>
          <w:color w:val="1F6391"/>
        </w:rPr>
        <w:t xml:space="preserve">4.3 API Design</w:t>
      </w:r>
    </w:p>
    <w:p>
      <w:pPr>
        <w:spacing w:after="120"/>
      </w:pPr>
      <w:r>
        <w:t xml:space="preserve">Interface definitions for the Transaction, Budget, and Account services:</w:t>
      </w:r>
    </w:p>
    <w:p>
      <w:pPr>
        <w:spacing w:after="120"/>
      </w:pPr>
      <w:r>
        <w:rPr>
          <w:b/>
          <w:bCs/>
        </w:rPr>
        <w:t xml:space="preserve">Endpoint: </w:t>
      </w:r>
      <w:r>
        <w:t xml:space="preserve">POST /transactions</w:t>
      </w:r>
    </w:p>
    <w:p>
      <w:pPr>
        <w:spacing w:after="120"/>
      </w:pPr>
      <w:r>
        <w:rPr>
          <w:b/>
          <w:bCs/>
        </w:rPr>
        <w:t xml:space="preserve">Request: </w:t>
      </w:r>
      <w:r>
        <w:t xml:space="preserve">{ accountId, categoryId, amount, type, date, notes? }</w:t>
      </w:r>
    </w:p>
    <w:p>
      <w:pPr>
        <w:spacing w:after="120"/>
      </w:pPr>
      <w:r>
        <w:rPr>
          <w:b/>
          <w:bCs/>
        </w:rPr>
        <w:t xml:space="preserve">Response: </w:t>
      </w:r>
      <w:r>
        <w:t xml:space="preserve">{ transactionId, accountId, newBalance, createdAt }</w:t>
      </w:r>
    </w:p>
    <w:p>
      <w:pPr>
        <w:spacing w:after="120"/>
      </w:pPr>
      <w:r>
        <w:rPr>
          <w:b/>
          <w:bCs/>
        </w:rPr>
        <w:t xml:space="preserve">Errors: </w:t>
      </w:r>
      <w:r>
        <w:t xml:space="preserve">400 Invalid amount/category, 401 Unauthorized, 404 Account not found</w:t>
      </w:r>
    </w:p>
    <w:p>
      <w:pPr>
        <w:spacing w:after="120"/>
      </w:pPr>
      <w:r>
        <w:rPr>
          <w:b/>
          <w:bCs/>
        </w:rPr>
        <w:t xml:space="preserve">Endpoint: </w:t>
      </w:r>
      <w:r>
        <w:t xml:space="preserve">POST /budgets</w:t>
      </w:r>
    </w:p>
    <w:p>
      <w:pPr>
        <w:spacing w:after="120"/>
      </w:pPr>
      <w:r>
        <w:rPr>
          <w:b/>
          <w:bCs/>
        </w:rPr>
        <w:t xml:space="preserve">Request: </w:t>
      </w:r>
      <w:r>
        <w:t xml:space="preserve">{ categoryId, period, limitAmount, alertThreshold }</w:t>
      </w:r>
    </w:p>
    <w:p>
      <w:pPr>
        <w:spacing w:after="120"/>
      </w:pPr>
      <w:r>
        <w:rPr>
          <w:b/>
          <w:bCs/>
        </w:rPr>
        <w:t xml:space="preserve">Response: </w:t>
      </w:r>
      <w:r>
        <w:t xml:space="preserve">{ budgetId, categoryId, period, limitAmount, alertThreshold }</w:t>
      </w:r>
    </w:p>
    <w:p>
      <w:pPr>
        <w:spacing w:after="120"/>
      </w:pPr>
      <w:r>
        <w:rPr>
          <w:b/>
          <w:bCs/>
        </w:rPr>
        <w:t xml:space="preserve">Errors: </w:t>
      </w:r>
      <w:r>
        <w:t xml:space="preserve">400 Invalid period/limit, 401 Unauthorized, 409 Budget already exists for category and period</w:t>
      </w:r>
    </w:p>
    <w:p>
      <w:pPr>
        <w:spacing w:after="120"/>
      </w:pPr>
      <w:r>
        <w:rPr>
          <w:b/>
          <w:bCs/>
        </w:rPr>
        <w:t xml:space="preserve">Endpoint: </w:t>
      </w:r>
      <w:r>
        <w:t xml:space="preserve">POST /accounts/transfer</w:t>
      </w:r>
    </w:p>
    <w:p>
      <w:pPr>
        <w:spacing w:after="120"/>
      </w:pPr>
      <w:r>
        <w:rPr>
          <w:b/>
          <w:bCs/>
        </w:rPr>
        <w:t xml:space="preserve">Request: </w:t>
      </w:r>
      <w:r>
        <w:t xml:space="preserve">{ fromAccountId, toAccountId, amount, notes? }</w:t>
      </w:r>
    </w:p>
    <w:p>
      <w:pPr>
        <w:spacing w:after="120"/>
      </w:pPr>
      <w:r>
        <w:rPr>
          <w:b/>
          <w:bCs/>
        </w:rPr>
        <w:t xml:space="preserve">Response: </w:t>
      </w:r>
      <w:r>
        <w:t xml:space="preserve">{ transferId, fromAccountBalance, toAccountBalance }</w:t>
      </w:r>
    </w:p>
    <w:p>
      <w:pPr>
        <w:spacing w:after="120"/>
      </w:pPr>
      <w:r>
        <w:rPr>
          <w:b/>
          <w:bCs/>
        </w:rPr>
        <w:t xml:space="preserve">Errors: </w:t>
      </w:r>
      <w:r>
        <w:t xml:space="preserve">400 Insufficient funds, 401 Unauthorized, 404 Account not found</w:t>
      </w:r>
    </w:p>
    <w:p>
      <w:pPr>
        <w:pStyle w:val="Heading2"/>
        <w:spacing w:after="100" w:before="200"/>
      </w:pPr>
      <w:r>
        <w:rPr>
          <w:b/>
          <w:bCs/>
          <w:color w:val="1F6391"/>
        </w:rPr>
        <w:t xml:space="preserve">4.4 Error Handling, Logging &amp; Monitoring</w:t>
      </w:r>
    </w:p>
    <w:p>
      <w:pPr>
        <w:spacing w:after="120"/>
      </w:pPr>
      <w:r>
        <w:t xml:space="preserve">A standardized JSON error envelope ({ error: { code, message } }) is used across all endpoints. No sensitive data (passwords, full account identifiers, receipt contents) is written to logs. Logging is centralized with a correlation ID per request. Monitoring covers: API response-time percentiles (SEBM-NF-001), error rate per endpoint, budget-alert delivery success rate, backend uptime (SEBM-NF-002), and failed-login attempt rate as a security signal.</w:t>
      </w:r>
    </w:p>
    <w:p>
      <w:pPr>
        <w:pStyle w:val="Heading2"/>
        <w:spacing w:after="100" w:before="200"/>
      </w:pPr>
      <w:r>
        <w:rPr>
          <w:b/>
          <w:bCs/>
          <w:color w:val="1F6391"/>
        </w:rPr>
        <w:t xml:space="preserve">4.5 UX Design</w:t>
      </w:r>
    </w:p>
    <w:p>
      <w:pPr>
        <w:spacing w:after="120"/>
      </w:pPr>
      <w:r>
        <w:t xml:space="preserve">Mobile-first dashboard showing balance, recent transactions, and budget status at a glance. Screen-reader-friendly labels and high-contrast/dark-mode support, targeting WCAG 2.1 AA (SEBM-NF-004). A quick-add transaction flow is optimized for a minimal number of taps, with category icons for fast visual scanning and clear red/amber/green budget-status indicators.</w:t>
      </w:r>
    </w:p>
    <w:p>
      <w:pPr>
        <w:pStyle w:val="Heading2"/>
        <w:spacing w:after="100" w:before="200"/>
      </w:pPr>
      <w:r>
        <w:rPr>
          <w:b/>
          <w:bCs/>
          <w:color w:val="1F6391"/>
        </w:rPr>
        <w:t xml:space="preserve">4.6 Open Issues &amp; Next Steps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Bank/SMS-parsing semi-automated transaction capture (future scope per SRS)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Investment and tax-filing modules (future scope per SRS)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Biometric app-lock using the device biometric sensor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Splitting service modules into independent deployables if scale requires it beyond the current modular monolith</w:t>
      </w:r>
    </w:p>
    <w:p>
      <w:pPr>
        <w:pStyle w:val="Heading1"/>
        <w:spacing w:after="140" w:before="280"/>
      </w:pPr>
      <w:r>
        <w:rPr>
          <w:b/>
          <w:bCs/>
          <w:color w:val="1F6391"/>
        </w:rPr>
        <w:t xml:space="preserve">5. Appendices</w:t>
      </w:r>
    </w:p>
    <w:p>
      <w:pPr>
        <w:pStyle w:val="Heading2"/>
        <w:spacing w:after="100" w:before="200"/>
      </w:pPr>
      <w:r>
        <w:rPr>
          <w:b/>
          <w:bCs/>
          <w:color w:val="1F6391"/>
        </w:rPr>
        <w:t xml:space="preserve">5.1 Glossary</w:t>
      </w:r>
    </w:p>
    <w:p>
      <w:pPr>
        <w:spacing w:after="120"/>
      </w:pPr>
      <w:r>
        <w:t xml:space="preserve">SEBM, UI, API, OTP, CSV, PDF, AES, TLS, RBAC, WCAG, JWT, ADR, STRIDE.</w:t>
      </w:r>
    </w:p>
    <w:p>
      <w:pPr>
        <w:pStyle w:val="Heading2"/>
        <w:spacing w:after="100" w:before="200"/>
      </w:pPr>
      <w:r>
        <w:rPr>
          <w:b/>
          <w:bCs/>
          <w:color w:val="1F6391"/>
        </w:rPr>
        <w:t xml:space="preserve">5.2 References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IEEE 42010 (Systems and software engineering - Architecture description)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OWASP Application Security Verification Standard (ASVS)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NIST SP 800-160 (Systems Security Engineering)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SEBM SRS v4.0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SEBM Software Test Plan v1.0</w:t>
      </w:r>
    </w:p>
    <w:p>
      <w:pPr>
        <w:pStyle w:val="Heading2"/>
        <w:spacing w:after="100" w:before="200"/>
      </w:pPr>
      <w:r>
        <w:rPr>
          <w:b/>
          <w:bCs/>
          <w:color w:val="1F6391"/>
        </w:rPr>
        <w:t xml:space="preserve">5.3 Tools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PlantUML / draw.io - for future diagram revisions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Postman - API testing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Swagger / OpenAPI - API documentation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Docker - containerized deployment</w:t>
      </w:r>
    </w:p>
    <w:sectPr>
      <w:pgSz w:w="12240" w:h="15840" w:orient="portrait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3fdde96d6e6af846ede6a6e58cb803bdea052a2.png"/><Relationship Id="rId8" Type="http://schemas.openxmlformats.org/officeDocument/2006/relationships/image" Target="media/5cd9924247af106a85e74eed0288a77fb7d9ca32.png"/><Relationship Id="rId9" Type="http://schemas.openxmlformats.org/officeDocument/2006/relationships/image" Target="media/d37fccd8b1cc1dd5a6d160287aa86713f88fe41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2026-10-11T13:34:56.145Z</dcterms:created>
  <dcterms:modified xsi:type="dcterms:W3CDTF">2026-10-11T13:34:56.145Z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