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6391"/>
          <w:sz w:val="32"/>
          <w:szCs w:val="32"/>
        </w:rPr>
        <w:t xml:space="preserve">Software Test Plan (STP) - Smart Expense and Budget Management Application</w:t>
      </w:r>
    </w:p>
    <w:p>
      <w:pPr>
        <w:spacing w:after="60"/>
      </w:pPr>
      <w:r>
        <w:rPr>
          <w:b/>
          <w:bCs/>
        </w:rPr>
        <w:t xml:space="preserve">Project: </w:t>
      </w:r>
      <w:r>
        <w:t xml:space="preserve">Smart Expense and Budget Management Application</w:t>
      </w:r>
    </w:p>
    <w:p>
      <w:pPr>
        <w:spacing w:after="60"/>
      </w:pPr>
      <w:r>
        <w:rPr>
          <w:b/>
          <w:bCs/>
        </w:rPr>
        <w:t xml:space="preserve">SRS Reference: </w:t>
      </w:r>
      <w:r>
        <w:t xml:space="preserve">SRS v4.0 (11/10/2026, itemized requirements in 4.3-4.6)</w:t>
      </w:r>
    </w:p>
    <w:p>
      <w:pPr>
        <w:spacing w:after="60"/>
      </w:pPr>
      <w:r>
        <w:rPr>
          <w:b/>
          <w:bCs/>
        </w:rPr>
        <w:t xml:space="preserve">Version: </w:t>
      </w:r>
      <w:r>
        <w:t xml:space="preserve">1.1</w:t>
      </w:r>
    </w:p>
    <w:p>
      <w:pPr>
        <w:spacing w:after="60"/>
      </w:pPr>
      <w:r>
        <w:rPr>
          <w:b/>
          <w:bCs/>
        </w:rPr>
        <w:t xml:space="preserve">Authors: </w:t>
      </w:r>
      <w:r>
        <w:t xml:space="preserve">Dev A - Taran S (PES2UG24CS555, Scrum Master), Dev B - Suryatej Vojjala (PES2UG24CS541), Dev C - Sujay P Nayak (PES2UG24CS533), Dev D - Surya Raju Naik (PES2UG24CS540)</w:t>
      </w:r>
    </w:p>
    <w:p>
      <w:pPr>
        <w:spacing w:after="60"/>
      </w:pPr>
      <w:r>
        <w:rPr>
          <w:b/>
          <w:bCs/>
        </w:rPr>
        <w:t xml:space="preserve">Date: </w:t>
      </w:r>
      <w:r>
        <w:t xml:space="preserve">11-10-2026</w:t>
      </w:r>
    </w:p>
    <w:p>
      <w:pPr>
        <w:spacing w:after="60"/>
      </w:pPr>
      <w:r>
        <w:rPr>
          <w:b/>
          <w:bCs/>
        </w:rPr>
        <w:t xml:space="preserve">Status: </w:t>
      </w:r>
      <w:r>
        <w:t xml:space="preserve">Draft</w:t>
      </w:r>
    </w:p>
    <w:p>
      <w:pPr>
        <w:pStyle w:val="Heading1"/>
        <w:spacing w:after="140" w:before="280"/>
      </w:pPr>
      <w:r>
        <w:rPr>
          <w:b/>
          <w:bCs/>
          <w:color w:val="1F6391"/>
        </w:rPr>
        <w:t xml:space="preserve">1. Introduction</w:t>
      </w:r>
    </w:p>
    <w:p>
      <w:pPr>
        <w:spacing w:after="120"/>
      </w:pPr>
      <w:r>
        <w:rPr>
          <w:b/>
          <w:bCs/>
        </w:rPr>
        <w:t xml:space="preserve">Purpose: </w:t>
      </w:r>
      <w:r>
        <w:t xml:space="preserve">This document defines the test plan for the Smart Expense and Budget Management Application (SEBM), based on SRS v4.0. It outlines objectives, scope, strategy, resources, schedule, and responsibilities for testing the application prior to release.</w:t>
      </w:r>
    </w:p>
    <w:p>
      <w:pPr>
        <w:spacing w:after="120"/>
      </w:pPr>
      <w:r>
        <w:rPr>
          <w:b/>
          <w:bCs/>
        </w:rPr>
        <w:t xml:space="preserve">Scope: </w:t>
      </w:r>
      <w:r>
        <w:t xml:space="preserve">Testing covers user registration and authentication, expense/income tracking, category management, budget management, multi-account tracking, reports and analytics, and notifications/reminders. Core banking transaction-processing integration, investment/tax-filing functionality, and bank/SMS-parsing auto-capture are excluded as they are future scope per the SRS.</w:t>
      </w:r>
    </w:p>
    <w:p>
      <w:pPr>
        <w:spacing w:after="120"/>
      </w:pPr>
      <w:r>
        <w:rPr>
          <w:b/>
          <w:bCs/>
        </w:rPr>
        <w:t xml:space="preserve">References: </w:t>
      </w:r>
      <w:r>
        <w:t xml:space="preserve">SEBM SRS v4.0, SEBM Software Architecture and Design Specification, SEBM UML Use-Case and ER Diagrams, applicable data protection regulations, WCAG 2.1 AA accessibility guidelines.</w:t>
      </w:r>
    </w:p>
    <w:p>
      <w:pPr>
        <w:spacing w:after="120"/>
      </w:pPr>
      <w:r>
        <w:rPr>
          <w:b/>
          <w:bCs/>
        </w:rPr>
        <w:t xml:space="preserve">Definitions: </w:t>
      </w:r>
      <w:r>
        <w:t xml:space="preserve">SEBM (Smart Expense and Budget Management), UI (User Interface), API (Application Programming Interface), OTP (One-Time Password), CSV (Comma-Separated Values), PDF (Portable Document Format), AES (Advanced Encryption Standard), TLS (Transport Layer Security), RBAC (Role-Based Access Control), WCAG (Web Content Accessibility Guidelines), SRS (Software Requirements Specification), RTM (Requirements Traceability Matrix).</w:t>
      </w:r>
    </w:p>
    <w:p>
      <w:pPr>
        <w:pStyle w:val="Heading1"/>
        <w:spacing w:after="140" w:before="280"/>
      </w:pPr>
      <w:r>
        <w:rPr>
          <w:b/>
          <w:bCs/>
          <w:color w:val="1F6391"/>
        </w:rPr>
        <w:t xml:space="preserve">2. Test Items</w:t>
      </w:r>
    </w:p>
    <w:p>
      <w:pPr>
        <w:pStyle w:val="ListParagraph"/>
        <w:numPr>
          <w:ilvl w:val="0"/>
          <w:numId w:val="1"/>
        </w:numPr>
        <w:spacing w:after="60"/>
      </w:pPr>
      <w:r>
        <w:t xml:space="preserve">Registration &amp; Authentication module</w:t>
      </w:r>
    </w:p>
    <w:p>
      <w:pPr>
        <w:pStyle w:val="ListParagraph"/>
        <w:numPr>
          <w:ilvl w:val="0"/>
          <w:numId w:val="1"/>
        </w:numPr>
        <w:spacing w:after="60"/>
      </w:pPr>
      <w:r>
        <w:t xml:space="preserve">Expense/Income Tracking module</w:t>
      </w:r>
    </w:p>
    <w:p>
      <w:pPr>
        <w:pStyle w:val="ListParagraph"/>
        <w:numPr>
          <w:ilvl w:val="0"/>
          <w:numId w:val="1"/>
        </w:numPr>
        <w:spacing w:after="60"/>
      </w:pPr>
      <w:r>
        <w:t xml:space="preserve">Category management (predefined and custom categories)</w:t>
      </w:r>
    </w:p>
    <w:p>
      <w:pPr>
        <w:pStyle w:val="ListParagraph"/>
        <w:numPr>
          <w:ilvl w:val="0"/>
          <w:numId w:val="1"/>
        </w:numPr>
        <w:spacing w:after="60"/>
      </w:pPr>
      <w:r>
        <w:t xml:space="preserve">Budget Management module</w:t>
      </w:r>
    </w:p>
    <w:p>
      <w:pPr>
        <w:pStyle w:val="ListParagraph"/>
        <w:numPr>
          <w:ilvl w:val="0"/>
          <w:numId w:val="1"/>
        </w:numPr>
        <w:spacing w:after="60"/>
      </w:pPr>
      <w:r>
        <w:t xml:space="preserve">Accounts &amp; Income Sources module (multi-account, transfers)</w:t>
      </w:r>
    </w:p>
    <w:p>
      <w:pPr>
        <w:pStyle w:val="ListParagraph"/>
        <w:numPr>
          <w:ilvl w:val="0"/>
          <w:numId w:val="1"/>
        </w:numPr>
        <w:spacing w:after="60"/>
      </w:pPr>
      <w:r>
        <w:t xml:space="preserve">Reports &amp; Analytics module</w:t>
      </w:r>
    </w:p>
    <w:p>
      <w:pPr>
        <w:pStyle w:val="ListParagraph"/>
        <w:numPr>
          <w:ilvl w:val="0"/>
          <w:numId w:val="1"/>
        </w:numPr>
        <w:spacing w:after="60"/>
      </w:pPr>
      <w:r>
        <w:t xml:space="preserve">Notifications &amp; Reminders module</w:t>
      </w:r>
    </w:p>
    <w:p>
      <w:pPr>
        <w:pStyle w:val="ListParagraph"/>
        <w:numPr>
          <w:ilvl w:val="0"/>
          <w:numId w:val="1"/>
        </w:numPr>
        <w:spacing w:after="60"/>
      </w:pPr>
      <w:r>
        <w:t xml:space="preserve">Admin interface (category, user, and support management)</w:t>
      </w:r>
    </w:p>
    <w:p>
      <w:pPr>
        <w:pStyle w:val="Heading1"/>
        <w:spacing w:after="140" w:before="280"/>
      </w:pPr>
      <w:r>
        <w:rPr>
          <w:b/>
          <w:bCs/>
          <w:color w:val="1F6391"/>
        </w:rPr>
        <w:t xml:space="preserve">3. Features to be Tested</w:t>
      </w:r>
    </w:p>
    <w:p>
      <w:pPr>
        <w:spacing w:after="120"/>
      </w:pPr>
      <w:r>
        <w:t xml:space="preserve">Features mapped to SRS requirement IDs:</w:t>
      </w:r>
    </w:p>
    <w:p>
      <w:pPr>
        <w:pStyle w:val="ListParagraph"/>
        <w:numPr>
          <w:ilvl w:val="0"/>
          <w:numId w:val="1"/>
        </w:numPr>
        <w:spacing w:after="60"/>
      </w:pPr>
      <w:r>
        <w:t xml:space="preserve">SEBM-F-001: Register with unique email and password</w:t>
      </w:r>
    </w:p>
    <w:p>
      <w:pPr>
        <w:pStyle w:val="ListParagraph"/>
        <w:numPr>
          <w:ilvl w:val="0"/>
          <w:numId w:val="1"/>
        </w:numPr>
        <w:spacing w:after="60"/>
      </w:pPr>
      <w:r>
        <w:t xml:space="preserve">SEBM-F-002: Email/password login with session persistence</w:t>
      </w:r>
    </w:p>
    <w:p>
      <w:pPr>
        <w:pStyle w:val="ListParagraph"/>
        <w:numPr>
          <w:ilvl w:val="0"/>
          <w:numId w:val="1"/>
        </w:numPr>
        <w:spacing w:after="60"/>
      </w:pPr>
      <w:r>
        <w:t xml:space="preserve">SEBM-F-003: Password reset via time-limited link/OTP</w:t>
      </w:r>
    </w:p>
    <w:p>
      <w:pPr>
        <w:pStyle w:val="ListParagraph"/>
        <w:numPr>
          <w:ilvl w:val="0"/>
          <w:numId w:val="1"/>
        </w:numPr>
        <w:spacing w:after="60"/>
      </w:pPr>
      <w:r>
        <w:t xml:space="preserve">SEBM-F-010: Add expense/income entry (updates account balance)</w:t>
      </w:r>
    </w:p>
    <w:p>
      <w:pPr>
        <w:pStyle w:val="ListParagraph"/>
        <w:numPr>
          <w:ilvl w:val="0"/>
          <w:numId w:val="1"/>
        </w:numPr>
        <w:spacing w:after="60"/>
      </w:pPr>
      <w:r>
        <w:t xml:space="preserve">SEBM-F-011: Edit or delete a transaction</w:t>
      </w:r>
    </w:p>
    <w:p>
      <w:pPr>
        <w:pStyle w:val="ListParagraph"/>
        <w:numPr>
          <w:ilvl w:val="0"/>
          <w:numId w:val="1"/>
        </w:numPr>
        <w:spacing w:after="60"/>
      </w:pPr>
      <w:r>
        <w:t xml:space="preserve">SEBM-F-012: Attach receipt photo to a transaction</w:t>
      </w:r>
    </w:p>
    <w:p>
      <w:pPr>
        <w:pStyle w:val="ListParagraph"/>
        <w:numPr>
          <w:ilvl w:val="0"/>
          <w:numId w:val="1"/>
        </w:numPr>
        <w:spacing w:after="60"/>
      </w:pPr>
      <w:r>
        <w:t xml:space="preserve">SEBM-F-013: Predefined and custom categories</w:t>
      </w:r>
    </w:p>
    <w:p>
      <w:pPr>
        <w:pStyle w:val="ListParagraph"/>
        <w:numPr>
          <w:ilvl w:val="0"/>
          <w:numId w:val="1"/>
        </w:numPr>
        <w:spacing w:after="60"/>
      </w:pPr>
      <w:r>
        <w:t xml:space="preserve">SEBM-F-020: Create category-wise or overall monthly budget</w:t>
      </w:r>
    </w:p>
    <w:p>
      <w:pPr>
        <w:pStyle w:val="ListParagraph"/>
        <w:numPr>
          <w:ilvl w:val="0"/>
          <w:numId w:val="1"/>
        </w:numPr>
        <w:spacing w:after="60"/>
      </w:pPr>
      <w:r>
        <w:t xml:space="preserve">SEBM-F-021: Real-time tracking of spending against budget</w:t>
      </w:r>
    </w:p>
    <w:p>
      <w:pPr>
        <w:pStyle w:val="ListParagraph"/>
        <w:numPr>
          <w:ilvl w:val="0"/>
          <w:numId w:val="1"/>
        </w:numPr>
        <w:spacing w:after="60"/>
      </w:pPr>
      <w:r>
        <w:t xml:space="preserve">SEBM-F-022: Threshold and limit-exceeded warnings</w:t>
      </w:r>
    </w:p>
    <w:p>
      <w:pPr>
        <w:pStyle w:val="ListParagraph"/>
        <w:numPr>
          <w:ilvl w:val="0"/>
          <w:numId w:val="1"/>
        </w:numPr>
        <w:spacing w:after="60"/>
      </w:pPr>
      <w:r>
        <w:t xml:space="preserve">SEBM-F-030: Multiple accounts with individual balances</w:t>
      </w:r>
    </w:p>
    <w:p>
      <w:pPr>
        <w:pStyle w:val="ListParagraph"/>
        <w:numPr>
          <w:ilvl w:val="0"/>
          <w:numId w:val="1"/>
        </w:numPr>
        <w:spacing w:after="60"/>
      </w:pPr>
      <w:r>
        <w:t xml:space="preserve">SEBM-F-031: Atomic transfer between accounts</w:t>
      </w:r>
    </w:p>
    <w:p>
      <w:pPr>
        <w:pStyle w:val="ListParagraph"/>
        <w:numPr>
          <w:ilvl w:val="0"/>
          <w:numId w:val="1"/>
        </w:numPr>
        <w:spacing w:after="60"/>
      </w:pPr>
      <w:r>
        <w:t xml:space="preserve">SEBM-F-040: Weekly/monthly spending and income reports with charts</w:t>
      </w:r>
    </w:p>
    <w:p>
      <w:pPr>
        <w:pStyle w:val="ListParagraph"/>
        <w:numPr>
          <w:ilvl w:val="0"/>
          <w:numId w:val="1"/>
        </w:numPr>
        <w:spacing w:after="60"/>
      </w:pPr>
      <w:r>
        <w:t xml:space="preserve">SEBM-F-041: Export report as PDF/CSV</w:t>
      </w:r>
    </w:p>
    <w:p>
      <w:pPr>
        <w:pStyle w:val="ListParagraph"/>
        <w:numPr>
          <w:ilvl w:val="0"/>
          <w:numId w:val="1"/>
        </w:numPr>
        <w:spacing w:after="60"/>
      </w:pPr>
      <w:r>
        <w:t xml:space="preserve">SEBM-F-042: Period-over-period comparison</w:t>
      </w:r>
    </w:p>
    <w:p>
      <w:pPr>
        <w:pStyle w:val="ListParagraph"/>
        <w:numPr>
          <w:ilvl w:val="0"/>
          <w:numId w:val="1"/>
        </w:numPr>
        <w:spacing w:after="60"/>
      </w:pPr>
      <w:r>
        <w:t xml:space="preserve">SEBM-F-050: Budget-threshold alert notification (push/email)</w:t>
      </w:r>
    </w:p>
    <w:p>
      <w:pPr>
        <w:pStyle w:val="ListParagraph"/>
        <w:numPr>
          <w:ilvl w:val="0"/>
          <w:numId w:val="1"/>
        </w:numPr>
        <w:spacing w:after="60"/>
      </w:pPr>
      <w:r>
        <w:t xml:space="preserve">SEBM-F-051: Bill payment reminders</w:t>
      </w:r>
    </w:p>
    <w:p>
      <w:pPr>
        <w:pStyle w:val="ListParagraph"/>
        <w:numPr>
          <w:ilvl w:val="0"/>
          <w:numId w:val="1"/>
        </w:numPr>
        <w:spacing w:after="60"/>
      </w:pPr>
      <w:r>
        <w:t xml:space="preserve">SEBM-NF-001: Screen load/transaction save within 2s for 90% of requests</w:t>
      </w:r>
    </w:p>
    <w:p>
      <w:pPr>
        <w:pStyle w:val="ListParagraph"/>
        <w:numPr>
          <w:ilvl w:val="0"/>
          <w:numId w:val="1"/>
        </w:numPr>
        <w:spacing w:after="60"/>
      </w:pPr>
      <w:r>
        <w:t xml:space="preserve">SEBM-NF-002: 99.5% monthly availability</w:t>
      </w:r>
    </w:p>
    <w:p>
      <w:pPr>
        <w:pStyle w:val="ListParagraph"/>
        <w:numPr>
          <w:ilvl w:val="0"/>
          <w:numId w:val="1"/>
        </w:numPr>
        <w:spacing w:after="60"/>
      </w:pPr>
      <w:r>
        <w:t xml:space="preserve">SEBM-NF-003: Encryption in transit and at rest</w:t>
      </w:r>
    </w:p>
    <w:p>
      <w:pPr>
        <w:pStyle w:val="ListParagraph"/>
        <w:numPr>
          <w:ilvl w:val="0"/>
          <w:numId w:val="1"/>
        </w:numPr>
        <w:spacing w:after="60"/>
      </w:pPr>
      <w:r>
        <w:t xml:space="preserve">SEBM-NF-004: WCAG 2.1 AA accessibility</w:t>
      </w:r>
    </w:p>
    <w:p>
      <w:pPr>
        <w:pStyle w:val="ListParagraph"/>
        <w:numPr>
          <w:ilvl w:val="0"/>
          <w:numId w:val="1"/>
        </w:numPr>
        <w:spacing w:after="60"/>
      </w:pPr>
      <w:r>
        <w:t xml:space="preserve">SEBM-NF-005: Scalability to 10,000 concurrent users</w:t>
      </w:r>
    </w:p>
    <w:p>
      <w:pPr>
        <w:pStyle w:val="ListParagraph"/>
        <w:numPr>
          <w:ilvl w:val="0"/>
          <w:numId w:val="1"/>
        </w:numPr>
        <w:spacing w:after="60"/>
      </w:pPr>
      <w:r>
        <w:t xml:space="preserve">SEBM-SR-001: TLS 1.2+ enforcement</w:t>
      </w:r>
    </w:p>
    <w:p>
      <w:pPr>
        <w:pStyle w:val="ListParagraph"/>
        <w:numPr>
          <w:ilvl w:val="0"/>
          <w:numId w:val="1"/>
        </w:numPr>
        <w:spacing w:after="60"/>
      </w:pPr>
      <w:r>
        <w:t xml:space="preserve">SEBM-SR-002: Salted password hashing (bcrypt/Argon2)</w:t>
      </w:r>
    </w:p>
    <w:p>
      <w:pPr>
        <w:pStyle w:val="ListParagraph"/>
        <w:numPr>
          <w:ilvl w:val="0"/>
          <w:numId w:val="1"/>
        </w:numPr>
        <w:spacing w:after="60"/>
      </w:pPr>
      <w:r>
        <w:t xml:space="preserve">SEBM-SR-003: AES-256 encryption of sensitive stored data</w:t>
      </w:r>
    </w:p>
    <w:p>
      <w:pPr>
        <w:pStyle w:val="ListParagraph"/>
        <w:numPr>
          <w:ilvl w:val="0"/>
          <w:numId w:val="1"/>
        </w:numPr>
        <w:spacing w:after="60"/>
      </w:pPr>
      <w:r>
        <w:t xml:space="preserve">SEBM-SR-004: Automatic session timeout</w:t>
      </w:r>
    </w:p>
    <w:p>
      <w:pPr>
        <w:pStyle w:val="ListParagraph"/>
        <w:numPr>
          <w:ilvl w:val="0"/>
          <w:numId w:val="1"/>
        </w:numPr>
        <w:spacing w:after="60"/>
      </w:pPr>
      <w:r>
        <w:t xml:space="preserve">SEBM-SR-005: Role-based access control for admin functions</w:t>
      </w:r>
    </w:p>
    <w:p>
      <w:pPr>
        <w:pStyle w:val="Heading1"/>
        <w:spacing w:after="140" w:before="280"/>
      </w:pPr>
      <w:r>
        <w:rPr>
          <w:b/>
          <w:bCs/>
          <w:color w:val="1F6391"/>
        </w:rPr>
        <w:t xml:space="preserve">4. Features Not to be Tested</w:t>
      </w:r>
    </w:p>
    <w:p>
      <w:pPr>
        <w:pStyle w:val="ListParagraph"/>
        <w:numPr>
          <w:ilvl w:val="0"/>
          <w:numId w:val="1"/>
        </w:numPr>
        <w:spacing w:after="60"/>
      </w:pPr>
      <w:r>
        <w:t xml:space="preserve">Core banking transaction-processing backend logic (excluded per SRS scope; future integration)</w:t>
      </w:r>
    </w:p>
    <w:p>
      <w:pPr>
        <w:pStyle w:val="ListParagraph"/>
        <w:numPr>
          <w:ilvl w:val="0"/>
          <w:numId w:val="1"/>
        </w:numPr>
        <w:spacing w:after="60"/>
      </w:pPr>
      <w:r>
        <w:t xml:space="preserve">Investment and tax-filing functionality (future scope)</w:t>
      </w:r>
    </w:p>
    <w:p>
      <w:pPr>
        <w:pStyle w:val="ListParagraph"/>
        <w:numPr>
          <w:ilvl w:val="0"/>
          <w:numId w:val="1"/>
        </w:numPr>
        <w:spacing w:after="60"/>
      </w:pPr>
      <w:r>
        <w:t xml:space="preserve">Bank/SMS-parsing semi-automated transaction capture (future scope)</w:t>
      </w:r>
    </w:p>
    <w:p>
      <w:pPr>
        <w:pStyle w:val="ListParagraph"/>
        <w:numPr>
          <w:ilvl w:val="0"/>
          <w:numId w:val="1"/>
        </w:numPr>
        <w:spacing w:after="60"/>
      </w:pPr>
      <w:r>
        <w:t xml:space="preserve">Internal logic of third-party notification service (email/SMS/push) - only the integration is tested</w:t>
      </w:r>
    </w:p>
    <w:p>
      <w:pPr>
        <w:pStyle w:val="ListParagraph"/>
        <w:numPr>
          <w:ilvl w:val="0"/>
          <w:numId w:val="1"/>
        </w:numPr>
        <w:spacing w:after="60"/>
      </w:pPr>
      <w:r>
        <w:t xml:space="preserve">Device hardware internals (camera, biometric sensor) - only app-level integration is tested</w:t>
      </w:r>
    </w:p>
    <w:p>
      <w:pPr>
        <w:pStyle w:val="Heading1"/>
        <w:spacing w:after="140" w:before="280"/>
      </w:pPr>
      <w:r>
        <w:rPr>
          <w:b/>
          <w:bCs/>
          <w:color w:val="1F6391"/>
        </w:rPr>
        <w:t xml:space="preserve">5. Test Approach / Strategy</w:t>
      </w:r>
    </w:p>
    <w:p>
      <w:pPr>
        <w:pStyle w:val="Heading2"/>
        <w:spacing w:after="100" w:before="200"/>
      </w:pPr>
      <w:r>
        <w:rPr>
          <w:b/>
          <w:bCs/>
          <w:color w:val="1F6391"/>
        </w:rPr>
        <w:t xml:space="preserve">Levels</w:t>
      </w:r>
    </w:p>
    <w:p>
      <w:pPr>
        <w:pStyle w:val="ListParagraph"/>
        <w:numPr>
          <w:ilvl w:val="0"/>
          <w:numId w:val="1"/>
        </w:numPr>
        <w:spacing w:after="60"/>
      </w:pPr>
      <w:r>
        <w:t xml:space="preserve">Unit tests (module-level: Auth, Transaction, Budget, Account, Report, Notification)</w:t>
      </w:r>
    </w:p>
    <w:p>
      <w:pPr>
        <w:pStyle w:val="ListParagraph"/>
        <w:numPr>
          <w:ilvl w:val="0"/>
          <w:numId w:val="1"/>
        </w:numPr>
        <w:spacing w:after="60"/>
      </w:pPr>
      <w:r>
        <w:t xml:space="preserve">Integration tests (client ↔ backend REST API, notification service, cloud storage for receipts)</w:t>
      </w:r>
    </w:p>
    <w:p>
      <w:pPr>
        <w:pStyle w:val="ListParagraph"/>
        <w:numPr>
          <w:ilvl w:val="0"/>
          <w:numId w:val="1"/>
        </w:numPr>
        <w:spacing w:after="60"/>
      </w:pPr>
      <w:r>
        <w:t xml:space="preserve">System tests (end-to-end SEBM app functionality across mobile/web clients)</w:t>
      </w:r>
    </w:p>
    <w:p>
      <w:pPr>
        <w:pStyle w:val="ListParagraph"/>
        <w:numPr>
          <w:ilvl w:val="0"/>
          <w:numId w:val="1"/>
        </w:numPr>
        <w:spacing w:after="60"/>
      </w:pPr>
      <w:r>
        <w:t xml:space="preserve">Acceptance tests (UAT with Course Coordinator and project stakeholders)</w:t>
      </w:r>
    </w:p>
    <w:p>
      <w:pPr>
        <w:pStyle w:val="Heading2"/>
        <w:spacing w:after="100" w:before="200"/>
      </w:pPr>
      <w:r>
        <w:rPr>
          <w:b/>
          <w:bCs/>
          <w:color w:val="1F6391"/>
        </w:rPr>
        <w:t xml:space="preserve">Types</w:t>
      </w:r>
    </w:p>
    <w:p>
      <w:pPr>
        <w:pStyle w:val="ListParagraph"/>
        <w:numPr>
          <w:ilvl w:val="0"/>
          <w:numId w:val="1"/>
        </w:numPr>
        <w:spacing w:after="60"/>
      </w:pPr>
      <w:r>
        <w:t xml:space="preserve">Functional testing (core features per Section 4 of the SRS)</w:t>
      </w:r>
    </w:p>
    <w:p>
      <w:pPr>
        <w:pStyle w:val="ListParagraph"/>
        <w:numPr>
          <w:ilvl w:val="0"/>
          <w:numId w:val="1"/>
        </w:numPr>
        <w:spacing w:after="60"/>
      </w:pPr>
      <w:r>
        <w:t xml:space="preserve">Regression testing (after each build/fix)</w:t>
      </w:r>
    </w:p>
    <w:p>
      <w:pPr>
        <w:pStyle w:val="ListParagraph"/>
        <w:numPr>
          <w:ilvl w:val="0"/>
          <w:numId w:val="1"/>
        </w:numPr>
        <w:spacing w:after="60"/>
      </w:pPr>
      <w:r>
        <w:t xml:space="preserve">Performance testing (response time, load, scalability per SEBM-NF-001/005)</w:t>
      </w:r>
    </w:p>
    <w:p>
      <w:pPr>
        <w:pStyle w:val="ListParagraph"/>
        <w:numPr>
          <w:ilvl w:val="0"/>
          <w:numId w:val="1"/>
        </w:numPr>
        <w:spacing w:after="60"/>
      </w:pPr>
      <w:r>
        <w:t xml:space="preserve">Usability &amp; accessibility testing (UI clarity, WCAG 2.1 AA per SEBM-NF-004)</w:t>
      </w:r>
    </w:p>
    <w:p>
      <w:pPr>
        <w:pStyle w:val="ListParagraph"/>
        <w:numPr>
          <w:ilvl w:val="0"/>
          <w:numId w:val="1"/>
        </w:numPr>
        <w:spacing w:after="60"/>
      </w:pPr>
      <w:r>
        <w:t xml:space="preserve">Security testing (per SRS Section 5.1)</w:t>
      </w:r>
    </w:p>
    <w:p>
      <w:pPr>
        <w:spacing w:after="120"/>
      </w:pPr>
      <w:r>
        <w:rPr>
          <w:b/>
          <w:bCs/>
        </w:rPr>
        <w:t xml:space="preserve">Test independence: </w:t>
      </w:r>
      <w:r>
        <w:t xml:space="preserve">Every module is tested by a team member who did not develop it (see Section 9). The developer writes unit tests for their own code; the independent tester designs and executes integration/system test cases, raises defects, and confirms acceptance before the story is closed.</w:t>
      </w:r>
    </w:p>
    <w:p>
      <w:pPr>
        <w:spacing w:after="120"/>
      </w:pPr>
      <w:r>
        <w:rPr>
          <w:b/>
          <w:bCs/>
        </w:rPr>
        <w:t xml:space="preserve">Entry Criteria: </w:t>
      </w:r>
      <w:r>
        <w:t xml:space="preserve">Stable build delivered, test data available, backend API sandbox and notification sandbox ready.</w:t>
      </w:r>
    </w:p>
    <w:p>
      <w:pPr>
        <w:spacing w:after="120"/>
      </w:pPr>
      <w:r>
        <w:rPr>
          <w:b/>
          <w:bCs/>
        </w:rPr>
        <w:t xml:space="preserve">Exit Criteria: </w:t>
      </w:r>
      <w:r>
        <w:t xml:space="preserve">All high-priority functional requirements implemented and verified, 0 critical defects open, no critical NFR failures, and the RTM shows all planned test cases executed and passed.</w:t>
      </w:r>
    </w:p>
    <w:p>
      <w:pPr>
        <w:pStyle w:val="Heading2"/>
        <w:spacing w:after="100" w:before="200"/>
      </w:pPr>
      <w:r>
        <w:rPr>
          <w:b/>
          <w:bCs/>
          <w:color w:val="1F6391"/>
        </w:rPr>
        <w:t xml:space="preserve">5.1 Security Validation</w:t>
      </w:r>
    </w:p>
    <w:p>
      <w:pPr>
        <w:pStyle w:val="ListParagraph"/>
        <w:numPr>
          <w:ilvl w:val="0"/>
          <w:numId w:val="1"/>
        </w:numPr>
        <w:spacing w:after="60"/>
      </w:pPr>
      <w:r>
        <w:t xml:space="preserve">Validate TLS 1.2+ is enforced for all client-server connections (SEBM-SR-001)</w:t>
      </w:r>
    </w:p>
    <w:p>
      <w:pPr>
        <w:pStyle w:val="ListParagraph"/>
        <w:numPr>
          <w:ilvl w:val="0"/>
          <w:numId w:val="1"/>
        </w:numPr>
        <w:spacing w:after="60"/>
      </w:pPr>
      <w:r>
        <w:t xml:space="preserve">Verify passwords are stored using salted bcrypt/Argon2 hashing, never plaintext (SEBM-SR-002)</w:t>
      </w:r>
    </w:p>
    <w:p>
      <w:pPr>
        <w:pStyle w:val="ListParagraph"/>
        <w:numPr>
          <w:ilvl w:val="0"/>
          <w:numId w:val="1"/>
        </w:numPr>
        <w:spacing w:after="60"/>
      </w:pPr>
      <w:r>
        <w:t xml:space="preserve">Verify sensitive stored data (e.g., linked account identifiers) is encrypted at rest using AES-256 (SEBM-SR-003)</w:t>
      </w:r>
    </w:p>
    <w:p>
      <w:pPr>
        <w:pStyle w:val="ListParagraph"/>
        <w:numPr>
          <w:ilvl w:val="0"/>
          <w:numId w:val="1"/>
        </w:numPr>
        <w:spacing w:after="60"/>
      </w:pPr>
      <w:r>
        <w:t xml:space="preserve">Validate automatic session logout after configurable inactivity period (SEBM-SR-004)</w:t>
      </w:r>
    </w:p>
    <w:p>
      <w:pPr>
        <w:pStyle w:val="ListParagraph"/>
        <w:numPr>
          <w:ilvl w:val="0"/>
          <w:numId w:val="1"/>
        </w:numPr>
        <w:spacing w:after="60"/>
      </w:pPr>
      <w:r>
        <w:t xml:space="preserve">Verify role-based access control (RBAC) denies non-admin accounts access to admin functions (SEBM-SR-005)</w:t>
      </w:r>
    </w:p>
    <w:p>
      <w:pPr>
        <w:pStyle w:val="ListParagraph"/>
        <w:numPr>
          <w:ilvl w:val="0"/>
          <w:numId w:val="1"/>
        </w:numPr>
        <w:spacing w:after="60"/>
      </w:pPr>
      <w:r>
        <w:t xml:space="preserve">Fuzzing of input fields (registration, transaction entry, login)</w:t>
      </w:r>
    </w:p>
    <w:p>
      <w:pPr>
        <w:pStyle w:val="ListParagraph"/>
        <w:numPr>
          <w:ilvl w:val="0"/>
          <w:numId w:val="1"/>
        </w:numPr>
        <w:spacing w:after="60"/>
      </w:pPr>
      <w:r>
        <w:t xml:space="preserve">Penetration testing of authentication and session-management flows</w:t>
      </w:r>
    </w:p>
    <w:p>
      <w:pPr>
        <w:pStyle w:val="Heading1"/>
        <w:spacing w:after="140" w:before="280"/>
      </w:pPr>
      <w:r>
        <w:rPr>
          <w:b/>
          <w:bCs/>
          <w:color w:val="1F6391"/>
        </w:rPr>
        <w:t xml:space="preserve">6. Test Environment</w:t>
      </w:r>
    </w:p>
    <w:p>
      <w:pPr>
        <w:spacing w:after="120"/>
      </w:pPr>
      <w:r>
        <w:rPr>
          <w:b/>
          <w:bCs/>
        </w:rPr>
        <w:t xml:space="preserve">Hardware: </w:t>
      </w:r>
      <w:r>
        <w:t xml:space="preserve">Android/iOS mobile devices (and/or emulators), desktop/laptop for web client, device camera for receipt capture, biometric sensor (optional, for app-lock testing).</w:t>
      </w:r>
    </w:p>
    <w:p>
      <w:pPr>
        <w:spacing w:after="120"/>
      </w:pPr>
      <w:r>
        <w:rPr>
          <w:b/>
          <w:bCs/>
        </w:rPr>
        <w:t xml:space="preserve">Software: </w:t>
      </w:r>
      <w:r>
        <w:t xml:space="preserve">SEBM client app (Sprint 1 build, mobile and/or web), backend REST API sandbox, notification service sandbox (email/SMS/push), cloud storage sandbox for receipt images.</w:t>
      </w:r>
    </w:p>
    <w:p>
      <w:pPr>
        <w:spacing w:after="120"/>
      </w:pPr>
      <w:r>
        <w:rPr>
          <w:b/>
          <w:bCs/>
        </w:rPr>
        <w:t xml:space="preserve">Tools: </w:t>
      </w:r>
      <w:r>
        <w:t xml:space="preserve">Selenium/Appium (UI automation), Postman (API testing), JMeter (performance/load testing), axe or WAVE (accessibility audit), OWASP ZAP (security testing), Jira (defect tracking).</w:t>
      </w:r>
    </w:p>
    <w:p>
      <w:pPr>
        <w:spacing w:after="120"/>
      </w:pPr>
      <w:r>
        <w:rPr>
          <w:b/>
          <w:bCs/>
        </w:rPr>
        <w:t xml:space="preserve">Test Data: </w:t>
      </w:r>
      <w:r>
        <w:t xml:space="preserve">Dummy user accounts, sample expense/income transactions, sample receipt images, predefined and custom categories, sample budgets across multiple periods.</w:t>
      </w:r>
    </w:p>
    <w:p>
      <w:pPr>
        <w:pStyle w:val="Heading1"/>
        <w:spacing w:after="140" w:before="280"/>
      </w:pPr>
      <w:r>
        <w:rPr>
          <w:b/>
          <w:bCs/>
          <w:color w:val="1F6391"/>
        </w:rPr>
        <w:t xml:space="preserve">7. Test Schedule</w:t>
      </w:r>
    </w:p>
    <w:p>
      <w:pPr>
        <w:spacing w:after="120"/>
      </w:pPr>
      <w:r>
        <w:t xml:space="preserve">Milestones:</w:t>
      </w:r>
    </w:p>
    <w:p>
      <w:pPr>
        <w:pStyle w:val="ListParagraph"/>
        <w:numPr>
          <w:ilvl w:val="0"/>
          <w:numId w:val="1"/>
        </w:numPr>
        <w:spacing w:after="60"/>
      </w:pPr>
      <w:r>
        <w:t xml:space="preserve">Test case design: 15-Sep-2026</w:t>
      </w:r>
    </w:p>
    <w:p>
      <w:pPr>
        <w:pStyle w:val="ListParagraph"/>
        <w:numPr>
          <w:ilvl w:val="0"/>
          <w:numId w:val="1"/>
        </w:numPr>
        <w:spacing w:after="60"/>
      </w:pPr>
      <w:r>
        <w:t xml:space="preserve">Environment setup: 17-Sep-2026</w:t>
      </w:r>
    </w:p>
    <w:p>
      <w:pPr>
        <w:pStyle w:val="ListParagraph"/>
        <w:numPr>
          <w:ilvl w:val="0"/>
          <w:numId w:val="1"/>
        </w:numPr>
        <w:spacing w:after="60"/>
      </w:pPr>
      <w:r>
        <w:t xml:space="preserve">Test execution start: 18-Sep-2026</w:t>
      </w:r>
    </w:p>
    <w:p>
      <w:pPr>
        <w:pStyle w:val="ListParagraph"/>
        <w:numPr>
          <w:ilvl w:val="0"/>
          <w:numId w:val="1"/>
        </w:numPr>
        <w:spacing w:after="60"/>
      </w:pPr>
      <w:r>
        <w:t xml:space="preserve">Test execution end: 30-Sep-2026</w:t>
      </w:r>
    </w:p>
    <w:p>
      <w:pPr>
        <w:pStyle w:val="ListParagraph"/>
        <w:numPr>
          <w:ilvl w:val="0"/>
          <w:numId w:val="1"/>
        </w:numPr>
        <w:spacing w:after="60"/>
      </w:pPr>
      <w:r>
        <w:t xml:space="preserve">UAT: 01-Oct-2026 to 03-Oct-2026</w:t>
      </w:r>
    </w:p>
    <w:p>
      <w:pPr>
        <w:pStyle w:val="Heading1"/>
        <w:spacing w:after="140" w:before="280"/>
      </w:pPr>
      <w:r>
        <w:rPr>
          <w:b/>
          <w:bCs/>
          <w:color w:val="1F6391"/>
        </w:rPr>
        <w:t xml:space="preserve">8. Test Deliverables</w:t>
      </w:r>
    </w:p>
    <w:p>
      <w:pPr>
        <w:pStyle w:val="ListParagraph"/>
        <w:numPr>
          <w:ilvl w:val="0"/>
          <w:numId w:val="1"/>
        </w:numPr>
        <w:spacing w:after="60"/>
      </w:pPr>
      <w:r>
        <w:t xml:space="preserve">Test Plan (this document)</w:t>
      </w:r>
    </w:p>
    <w:p>
      <w:pPr>
        <w:pStyle w:val="ListParagraph"/>
        <w:numPr>
          <w:ilvl w:val="0"/>
          <w:numId w:val="1"/>
        </w:numPr>
        <w:spacing w:after="60"/>
      </w:pPr>
      <w:r>
        <w:t xml:space="preserve">Test Cases (manual &amp; automated)</w:t>
      </w:r>
    </w:p>
    <w:p>
      <w:pPr>
        <w:pStyle w:val="ListParagraph"/>
        <w:numPr>
          <w:ilvl w:val="0"/>
          <w:numId w:val="1"/>
        </w:numPr>
        <w:spacing w:after="60"/>
      </w:pPr>
      <w:r>
        <w:t xml:space="preserve">Test Scripts</w:t>
      </w:r>
    </w:p>
    <w:p>
      <w:pPr>
        <w:pStyle w:val="ListParagraph"/>
        <w:numPr>
          <w:ilvl w:val="0"/>
          <w:numId w:val="1"/>
        </w:numPr>
        <w:spacing w:after="60"/>
      </w:pPr>
      <w:r>
        <w:t xml:space="preserve">Test Data</w:t>
      </w:r>
    </w:p>
    <w:p>
      <w:pPr>
        <w:pStyle w:val="ListParagraph"/>
        <w:numPr>
          <w:ilvl w:val="0"/>
          <w:numId w:val="1"/>
        </w:numPr>
        <w:spacing w:after="60"/>
      </w:pPr>
      <w:r>
        <w:t xml:space="preserve">Test Execution Logs</w:t>
      </w:r>
    </w:p>
    <w:p>
      <w:pPr>
        <w:pStyle w:val="ListParagraph"/>
        <w:numPr>
          <w:ilvl w:val="0"/>
          <w:numId w:val="1"/>
        </w:numPr>
        <w:spacing w:after="60"/>
      </w:pPr>
      <w:r>
        <w:t xml:space="preserve">Defect Reports</w:t>
      </w:r>
    </w:p>
    <w:p>
      <w:pPr>
        <w:pStyle w:val="ListParagraph"/>
        <w:numPr>
          <w:ilvl w:val="0"/>
          <w:numId w:val="1"/>
        </w:numPr>
        <w:spacing w:after="60"/>
      </w:pPr>
      <w:r>
        <w:t xml:space="preserve">Test Summary Report</w:t>
      </w:r>
    </w:p>
    <w:p>
      <w:pPr>
        <w:pStyle w:val="Heading1"/>
        <w:spacing w:after="140" w:before="280"/>
      </w:pPr>
      <w:r>
        <w:rPr>
          <w:b/>
          <w:bCs/>
          <w:color w:val="1F6391"/>
        </w:rPr>
        <w:t xml:space="preserve">9. Roles and Responsibilities</w:t>
      </w:r>
    </w:p>
    <w:p>
      <w:pPr>
        <w:spacing w:after="120"/>
      </w:pPr>
      <w:r>
        <w:t xml:space="preserve">Each team member develops one module and independently tests a module owned by a different member, forming a rotation (A tests B's module, B tests C's, C tests D's, D tests A's).</w:t>
      </w:r>
    </w:p>
    <w:tbl>
      <w:tblPr>
        <w:tblW w:type="dxa" w:w="1022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300"/>
        <w:gridCol w:w="4028"/>
      </w:tblGrid>
      <w:tr>
        <w:trPr>
          <w:tblHeader/>
        </w:trPr>
        <w:tc>
          <w:tcPr>
            <w:tcW w:type="dxa" w:w="1700"/>
            <w:tcBorders>
              <w:top w:val="single" w:color="999999" w:sz="4"/>
              <w:left w:val="single" w:color="999999" w:sz="4"/>
              <w:bottom w:val="single" w:color="999999" w:sz="4"/>
              <w:right w:val="single" w:color="999999" w:sz="4"/>
            </w:tcBorders>
            <w:shd w:fill="1F6391" w:val="clear"/>
            <w:tcMar>
              <w:top w:type="dxa" w:w="60"/>
              <w:left w:type="dxa" w:w="80"/>
              <w:bottom w:type="dxa" w:w="60"/>
              <w:right w:type="dxa" w:w="80"/>
            </w:tcMar>
            <w:vAlign w:val="center"/>
          </w:tcPr>
          <w:p>
            <w:r>
              <w:rPr>
                <w:b/>
                <w:bCs/>
                <w:color w:val="FFFFFF"/>
                <w:sz w:val="20"/>
                <w:szCs w:val="20"/>
              </w:rPr>
              <w:t xml:space="preserve">Role</w:t>
            </w:r>
          </w:p>
        </w:tc>
        <w:tc>
          <w:tcPr>
            <w:tcW w:type="dxa" w:w="2200"/>
            <w:tcBorders>
              <w:top w:val="single" w:color="999999" w:sz="4"/>
              <w:left w:val="single" w:color="999999" w:sz="4"/>
              <w:bottom w:val="single" w:color="999999" w:sz="4"/>
              <w:right w:val="single" w:color="999999" w:sz="4"/>
            </w:tcBorders>
            <w:shd w:fill="1F6391" w:val="clear"/>
            <w:tcMar>
              <w:top w:type="dxa" w:w="60"/>
              <w:left w:type="dxa" w:w="80"/>
              <w:bottom w:type="dxa" w:w="60"/>
              <w:right w:type="dxa" w:w="80"/>
            </w:tcMar>
            <w:vAlign w:val="center"/>
          </w:tcPr>
          <w:p>
            <w:r>
              <w:rPr>
                <w:b/>
                <w:bCs/>
                <w:color w:val="FFFFFF"/>
                <w:sz w:val="20"/>
                <w:szCs w:val="20"/>
              </w:rPr>
              <w:t xml:space="preserve">Name</w:t>
            </w:r>
          </w:p>
        </w:tc>
        <w:tc>
          <w:tcPr>
            <w:tcW w:type="dxa" w:w="2300"/>
            <w:tcBorders>
              <w:top w:val="single" w:color="999999" w:sz="4"/>
              <w:left w:val="single" w:color="999999" w:sz="4"/>
              <w:bottom w:val="single" w:color="999999" w:sz="4"/>
              <w:right w:val="single" w:color="999999" w:sz="4"/>
            </w:tcBorders>
            <w:shd w:fill="1F6391" w:val="clear"/>
            <w:tcMar>
              <w:top w:type="dxa" w:w="60"/>
              <w:left w:type="dxa" w:w="80"/>
              <w:bottom w:type="dxa" w:w="60"/>
              <w:right w:type="dxa" w:w="80"/>
            </w:tcMar>
            <w:vAlign w:val="center"/>
          </w:tcPr>
          <w:p>
            <w:r>
              <w:rPr>
                <w:b/>
                <w:bCs/>
                <w:color w:val="FFFFFF"/>
                <w:sz w:val="20"/>
                <w:szCs w:val="20"/>
              </w:rPr>
              <w:t xml:space="preserve">Develops</w:t>
            </w:r>
          </w:p>
        </w:tc>
        <w:tc>
          <w:tcPr>
            <w:tcW w:type="dxa" w:w="4028"/>
            <w:tcBorders>
              <w:top w:val="single" w:color="999999" w:sz="4"/>
              <w:left w:val="single" w:color="999999" w:sz="4"/>
              <w:bottom w:val="single" w:color="999999" w:sz="4"/>
              <w:right w:val="single" w:color="999999" w:sz="4"/>
            </w:tcBorders>
            <w:shd w:fill="1F6391" w:val="clear"/>
            <w:tcMar>
              <w:top w:type="dxa" w:w="60"/>
              <w:left w:type="dxa" w:w="80"/>
              <w:bottom w:type="dxa" w:w="60"/>
              <w:right w:type="dxa" w:w="80"/>
            </w:tcMar>
            <w:vAlign w:val="center"/>
          </w:tcPr>
          <w:p>
            <w:r>
              <w:rPr>
                <w:b/>
                <w:bCs/>
                <w:color w:val="FFFFFF"/>
                <w:sz w:val="20"/>
                <w:szCs w:val="20"/>
              </w:rPr>
              <w:t xml:space="preserve">Independently tests (and responsibilities)</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Dev A (Scrum Master)</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Taran S, PES2UG24CS555</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Expense/Income Tracking &amp; Accounts</w:t>
            </w:r>
          </w:p>
        </w:tc>
        <w:tc>
          <w:tcPr>
            <w:tcW w:type="dxa" w:w="40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Registration &amp; Authentication (Dev B) - SEBM-F-001..003, SEBM-SR-002, SEBM-SR-004. Also prepares the test plan, facilitates sprint events, reviews and merges PRs.</w:t>
            </w:r>
          </w:p>
        </w:tc>
      </w:tr>
      <w:tr>
        <w:tc>
          <w:tcPr>
            <w:tcW w:type="dxa" w:w="17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Dev B</w:t>
            </w:r>
          </w:p>
        </w:tc>
        <w:tc>
          <w:tcPr>
            <w:tcW w:type="dxa" w:w="2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Suryatej Vojjala, PES2UG24CS541</w:t>
            </w:r>
          </w:p>
        </w:tc>
        <w:tc>
          <w:tcPr>
            <w:tcW w:type="dxa" w:w="23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Registration &amp; Authentication</w:t>
            </w:r>
          </w:p>
        </w:tc>
        <w:tc>
          <w:tcPr>
            <w:tcW w:type="dxa" w:w="40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Budget Management &amp; Reports/Analytics (Dev C) - SEBM-F-020..022, SEBM-F-040..042. Designs and executes test cases; logs defects.</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Dev C</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Sujay P Nayak, PES2UG24CS533</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Budget Management &amp; Reports/Analytics</w:t>
            </w:r>
          </w:p>
        </w:tc>
        <w:tc>
          <w:tcPr>
            <w:tcW w:type="dxa" w:w="40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Notifications &amp; Security/NFRs (Dev D) - SEBM-F-050..051, SEBM-NF-001..005, SEBM-SR-001, SEBM-SR-003, SEBM-SR-005. Designs and executes test cases; logs defects.</w:t>
            </w:r>
          </w:p>
        </w:tc>
      </w:tr>
      <w:tr>
        <w:tc>
          <w:tcPr>
            <w:tcW w:type="dxa" w:w="17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Dev D</w:t>
            </w:r>
          </w:p>
        </w:tc>
        <w:tc>
          <w:tcPr>
            <w:tcW w:type="dxa" w:w="2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Surya Raju Naik, PES2UG24CS540</w:t>
            </w:r>
          </w:p>
        </w:tc>
        <w:tc>
          <w:tcPr>
            <w:tcW w:type="dxa" w:w="23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Notifications &amp; Security/NFRs</w:t>
            </w:r>
          </w:p>
        </w:tc>
        <w:tc>
          <w:tcPr>
            <w:tcW w:type="dxa" w:w="40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Expense/Income Tracking &amp; Accounts (Dev A) - SEBM-F-010..013, SEBM-F-030..031. Designs and executes test cases; logs defects.</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Product Owner</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Niveditha Reddy, Course Coordinator</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w:t>
            </w:r>
          </w:p>
        </w:tc>
        <w:tc>
          <w:tcPr>
            <w:tcW w:type="dxa" w:w="40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Approve test results, sign-off on release readiness</w:t>
            </w:r>
          </w:p>
        </w:tc>
      </w:tr>
    </w:tbl>
    <w:p>
      <w:pPr>
        <w:pStyle w:val="Heading1"/>
        <w:spacing w:after="140" w:before="280"/>
      </w:pPr>
      <w:r>
        <w:rPr>
          <w:b/>
          <w:bCs/>
          <w:color w:val="1F6391"/>
        </w:rPr>
        <w:t xml:space="preserve">10. Risks and Mitigation</w:t>
      </w:r>
    </w:p>
    <w:tbl>
      <w:tblPr>
        <w:tblW w:type="dxa" w:w="10228"/>
        <w:tblBorders>
          <w:top w:val="single" w:color="auto" w:sz="4"/>
          <w:left w:val="single" w:color="auto" w:sz="4"/>
          <w:bottom w:val="single" w:color="auto" w:sz="4"/>
          <w:right w:val="single" w:color="auto" w:sz="4"/>
          <w:insideH w:val="single" w:color="auto" w:sz="4"/>
          <w:insideV w:val="single" w:color="auto" w:sz="4"/>
        </w:tblBorders>
      </w:tblPr>
      <w:tblGrid>
        <w:gridCol w:w="5114"/>
        <w:gridCol w:w="5114"/>
      </w:tblGrid>
      <w:tr>
        <w:trPr>
          <w:tblHeader/>
        </w:trPr>
        <w:tc>
          <w:tcPr>
            <w:tcW w:type="dxa" w:w="5114"/>
            <w:tcBorders>
              <w:top w:val="single" w:color="999999" w:sz="4"/>
              <w:left w:val="single" w:color="999999" w:sz="4"/>
              <w:bottom w:val="single" w:color="999999" w:sz="4"/>
              <w:right w:val="single" w:color="999999" w:sz="4"/>
            </w:tcBorders>
            <w:shd w:fill="1F6391" w:val="clear"/>
            <w:tcMar>
              <w:top w:type="dxa" w:w="60"/>
              <w:left w:type="dxa" w:w="80"/>
              <w:bottom w:type="dxa" w:w="60"/>
              <w:right w:type="dxa" w:w="80"/>
            </w:tcMar>
            <w:vAlign w:val="center"/>
          </w:tcPr>
          <w:p>
            <w:r>
              <w:rPr>
                <w:b/>
                <w:bCs/>
                <w:color w:val="FFFFFF"/>
                <w:sz w:val="20"/>
                <w:szCs w:val="20"/>
              </w:rPr>
              <w:t xml:space="preserve">Risk</w:t>
            </w:r>
          </w:p>
        </w:tc>
        <w:tc>
          <w:tcPr>
            <w:tcW w:type="dxa" w:w="5114"/>
            <w:tcBorders>
              <w:top w:val="single" w:color="999999" w:sz="4"/>
              <w:left w:val="single" w:color="999999" w:sz="4"/>
              <w:bottom w:val="single" w:color="999999" w:sz="4"/>
              <w:right w:val="single" w:color="999999" w:sz="4"/>
            </w:tcBorders>
            <w:shd w:fill="1F6391" w:val="clear"/>
            <w:tcMar>
              <w:top w:type="dxa" w:w="60"/>
              <w:left w:type="dxa" w:w="80"/>
              <w:bottom w:type="dxa" w:w="60"/>
              <w:right w:type="dxa" w:w="80"/>
            </w:tcMar>
            <w:vAlign w:val="center"/>
          </w:tcPr>
          <w:p>
            <w:r>
              <w:rPr>
                <w:b/>
                <w:bCs/>
                <w:color w:val="FFFFFF"/>
                <w:sz w:val="20"/>
                <w:szCs w:val="20"/>
              </w:rPr>
              <w:t xml:space="preserve">Mitigation</w:t>
            </w:r>
          </w:p>
        </w:tc>
      </w:tr>
      <w:tr>
        <w:tc>
          <w:tcPr>
            <w:tcW w:type="dxa" w:w="5114"/>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Delay in stable build delivery</w:t>
            </w:r>
          </w:p>
        </w:tc>
        <w:tc>
          <w:tcPr>
            <w:tcW w:type="dxa" w:w="5114"/>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Request early smoke builds from the dev team</w:t>
            </w:r>
          </w:p>
        </w:tc>
      </w:tr>
      <w:tr>
        <w:tc>
          <w:tcPr>
            <w:tcW w:type="dxa" w:w="5114"/>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Backend API sandbox downtime</w:t>
            </w:r>
          </w:p>
        </w:tc>
        <w:tc>
          <w:tcPr>
            <w:tcW w:type="dxa" w:w="5114"/>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Maintain a backup/mocked sandbox environment on a cloud VM</w:t>
            </w:r>
          </w:p>
        </w:tc>
      </w:tr>
      <w:tr>
        <w:tc>
          <w:tcPr>
            <w:tcW w:type="dxa" w:w="5114"/>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Dependency on third-party notification service (email/SMS/push)</w:t>
            </w:r>
          </w:p>
        </w:tc>
        <w:tc>
          <w:tcPr>
            <w:tcW w:type="dxa" w:w="5114"/>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Engage provider early; use sandbox/test doubles for alert testing</w:t>
            </w:r>
          </w:p>
        </w:tc>
      </w:tr>
      <w:tr>
        <w:tc>
          <w:tcPr>
            <w:tcW w:type="dxa" w:w="5114"/>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Cloud storage integration delays (receipt images)</w:t>
            </w:r>
          </w:p>
        </w:tc>
        <w:tc>
          <w:tcPr>
            <w:tcW w:type="dxa" w:w="5114"/>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Use mocked storage endpoints for early-stage testing</w:t>
            </w:r>
          </w:p>
        </w:tc>
      </w:tr>
      <w:tr>
        <w:tc>
          <w:tcPr>
            <w:tcW w:type="dxa" w:w="5114"/>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Limited coverage of offline entry/sync scenarios</w:t>
            </w:r>
          </w:p>
        </w:tc>
        <w:tc>
          <w:tcPr>
            <w:tcW w:type="dxa" w:w="5114"/>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Add dedicated test cases for offline queuing and retry/backoff sync</w:t>
            </w:r>
          </w:p>
        </w:tc>
      </w:tr>
    </w:tbl>
    <w:p>
      <w:pPr>
        <w:pStyle w:val="Heading1"/>
        <w:spacing w:after="140" w:before="280"/>
      </w:pPr>
      <w:r>
        <w:rPr>
          <w:b/>
          <w:bCs/>
          <w:color w:val="1F6391"/>
        </w:rPr>
        <w:t xml:space="preserve">11. Assumptions &amp; Dependencies</w:t>
      </w:r>
    </w:p>
    <w:p>
      <w:pPr>
        <w:pStyle w:val="ListParagraph"/>
        <w:numPr>
          <w:ilvl w:val="0"/>
          <w:numId w:val="1"/>
        </w:numPr>
        <w:spacing w:after="60"/>
      </w:pPr>
      <w:r>
        <w:t xml:space="preserve">Backend REST API sandbox will be stable and available throughout the test cycle</w:t>
      </w:r>
    </w:p>
    <w:p>
      <w:pPr>
        <w:pStyle w:val="ListParagraph"/>
        <w:numPr>
          <w:ilvl w:val="0"/>
          <w:numId w:val="1"/>
        </w:numPr>
        <w:spacing w:after="60"/>
      </w:pPr>
      <w:r>
        <w:t xml:space="preserve">Test data (dummy accounts, transactions, receipt images) will be provided before execution</w:t>
      </w:r>
    </w:p>
    <w:p>
      <w:pPr>
        <w:pStyle w:val="ListParagraph"/>
        <w:numPr>
          <w:ilvl w:val="0"/>
          <w:numId w:val="1"/>
        </w:numPr>
        <w:spacing w:after="60"/>
      </w:pPr>
      <w:r>
        <w:t xml:space="preserve">Notification service sandbox (email/SMS/push) will be accessible for alert and reminder testing</w:t>
      </w:r>
    </w:p>
    <w:p>
      <w:pPr>
        <w:pStyle w:val="ListParagraph"/>
        <w:numPr>
          <w:ilvl w:val="0"/>
          <w:numId w:val="1"/>
        </w:numPr>
        <w:spacing w:after="60"/>
      </w:pPr>
      <w:r>
        <w:t xml:space="preserve">Target Android/iOS OS versions will be available on test devices or emulators</w:t>
      </w:r>
    </w:p>
    <w:p>
      <w:pPr>
        <w:pStyle w:val="Heading1"/>
        <w:spacing w:after="140" w:before="280"/>
      </w:pPr>
      <w:r>
        <w:rPr>
          <w:b/>
          <w:bCs/>
          <w:color w:val="1F6391"/>
        </w:rPr>
        <w:t xml:space="preserve">12. Suspension &amp; Resumption Criteria</w:t>
      </w:r>
    </w:p>
    <w:p>
      <w:pPr>
        <w:spacing w:after="120"/>
      </w:pPr>
      <w:r>
        <w:t xml:space="preserve">Suspend testing if:</w:t>
      </w:r>
    </w:p>
    <w:p>
      <w:pPr>
        <w:pStyle w:val="ListParagraph"/>
        <w:numPr>
          <w:ilvl w:val="0"/>
          <w:numId w:val="1"/>
        </w:numPr>
        <w:spacing w:after="60"/>
      </w:pPr>
      <w:r>
        <w:t xml:space="preserve">Test environment is unavailable for more than 4 hours</w:t>
      </w:r>
    </w:p>
    <w:p>
      <w:pPr>
        <w:pStyle w:val="ListParagraph"/>
        <w:numPr>
          <w:ilvl w:val="0"/>
          <w:numId w:val="1"/>
        </w:numPr>
        <w:spacing w:after="60"/>
      </w:pPr>
      <w:r>
        <w:t xml:space="preserve">Build is too unstable (blocks more than 30% of planned test cases)</w:t>
      </w:r>
    </w:p>
    <w:p>
      <w:pPr>
        <w:spacing w:after="120"/>
      </w:pPr>
      <w:r>
        <w:t xml:space="preserve">Resume testing if:</w:t>
      </w:r>
    </w:p>
    <w:p>
      <w:pPr>
        <w:pStyle w:val="ListParagraph"/>
        <w:numPr>
          <w:ilvl w:val="0"/>
          <w:numId w:val="1"/>
        </w:numPr>
        <w:spacing w:after="60"/>
      </w:pPr>
      <w:r>
        <w:t xml:space="preserve">Blocking defects are resolved</w:t>
      </w:r>
    </w:p>
    <w:p>
      <w:pPr>
        <w:pStyle w:val="ListParagraph"/>
        <w:numPr>
          <w:ilvl w:val="0"/>
          <w:numId w:val="1"/>
        </w:numPr>
        <w:spacing w:after="60"/>
      </w:pPr>
      <w:r>
        <w:t xml:space="preserve">Environment is stabilized</w:t>
      </w:r>
    </w:p>
    <w:p>
      <w:pPr>
        <w:pStyle w:val="Heading1"/>
        <w:spacing w:after="140" w:before="280"/>
      </w:pPr>
      <w:r>
        <w:rPr>
          <w:b/>
          <w:bCs/>
          <w:color w:val="1F6391"/>
        </w:rPr>
        <w:t xml:space="preserve">13. Test Case Management &amp; Traceability</w:t>
      </w:r>
    </w:p>
    <w:p>
      <w:pPr>
        <w:spacing w:after="120"/>
      </w:pPr>
      <w:r>
        <w:t xml:space="preserve">The RTM ensures every SRS requirement maps to at least one test case. The table below mirrors the RTM in SRS Section 8 (all 27 requirement IDs):</w:t>
      </w:r>
    </w:p>
    <w:tbl>
      <w:tblPr>
        <w:tblW w:type="dxa" w:w="1022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628"/>
      </w:tblGrid>
      <w:tr>
        <w:trPr>
          <w:tblHeader/>
        </w:trPr>
        <w:tc>
          <w:tcPr>
            <w:tcW w:type="dxa" w:w="2600"/>
            <w:tcBorders>
              <w:top w:val="single" w:color="999999" w:sz="4"/>
              <w:left w:val="single" w:color="999999" w:sz="4"/>
              <w:bottom w:val="single" w:color="999999" w:sz="4"/>
              <w:right w:val="single" w:color="999999" w:sz="4"/>
            </w:tcBorders>
            <w:shd w:fill="1F6391" w:val="clear"/>
            <w:tcMar>
              <w:top w:type="dxa" w:w="60"/>
              <w:left w:type="dxa" w:w="80"/>
              <w:bottom w:type="dxa" w:w="60"/>
              <w:right w:type="dxa" w:w="80"/>
            </w:tcMar>
            <w:vAlign w:val="center"/>
          </w:tcPr>
          <w:p>
            <w:r>
              <w:rPr>
                <w:b/>
                <w:bCs/>
                <w:color w:val="FFFFFF"/>
                <w:sz w:val="20"/>
                <w:szCs w:val="20"/>
              </w:rPr>
              <w:t xml:space="preserve">Req ID</w:t>
            </w:r>
          </w:p>
        </w:tc>
        <w:tc>
          <w:tcPr>
            <w:tcW w:type="dxa" w:w="3000"/>
            <w:tcBorders>
              <w:top w:val="single" w:color="999999" w:sz="4"/>
              <w:left w:val="single" w:color="999999" w:sz="4"/>
              <w:bottom w:val="single" w:color="999999" w:sz="4"/>
              <w:right w:val="single" w:color="999999" w:sz="4"/>
            </w:tcBorders>
            <w:shd w:fill="1F6391" w:val="clear"/>
            <w:tcMar>
              <w:top w:type="dxa" w:w="60"/>
              <w:left w:type="dxa" w:w="80"/>
              <w:bottom w:type="dxa" w:w="60"/>
              <w:right w:type="dxa" w:w="80"/>
            </w:tcMar>
            <w:vAlign w:val="center"/>
          </w:tcPr>
          <w:p>
            <w:r>
              <w:rPr>
                <w:b/>
                <w:bCs/>
                <w:color w:val="FFFFFF"/>
                <w:sz w:val="20"/>
                <w:szCs w:val="20"/>
              </w:rPr>
              <w:t xml:space="preserve">Test case(s)</w:t>
            </w:r>
          </w:p>
        </w:tc>
        <w:tc>
          <w:tcPr>
            <w:tcW w:type="dxa" w:w="4628"/>
            <w:tcBorders>
              <w:top w:val="single" w:color="999999" w:sz="4"/>
              <w:left w:val="single" w:color="999999" w:sz="4"/>
              <w:bottom w:val="single" w:color="999999" w:sz="4"/>
              <w:right w:val="single" w:color="999999" w:sz="4"/>
            </w:tcBorders>
            <w:shd w:fill="1F6391" w:val="clear"/>
            <w:tcMar>
              <w:top w:type="dxa" w:w="60"/>
              <w:left w:type="dxa" w:w="80"/>
              <w:bottom w:type="dxa" w:w="60"/>
              <w:right w:type="dxa" w:w="80"/>
            </w:tcMar>
            <w:vAlign w:val="center"/>
          </w:tcPr>
          <w:p>
            <w:r>
              <w:rPr>
                <w:b/>
                <w:bCs/>
                <w:color w:val="FFFFFF"/>
                <w:sz w:val="20"/>
                <w:szCs w:val="20"/>
              </w:rPr>
              <w:t xml:space="preserve">Test level / type</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SEBM-F-001</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TC-Reg-01</w:t>
            </w:r>
          </w:p>
        </w:tc>
        <w:tc>
          <w:tcPr>
            <w:tcW w:type="dxa" w:w="46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Unit, Integration</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SEBM-F-002</w:t>
            </w:r>
          </w:p>
        </w:tc>
        <w:tc>
          <w:tcPr>
            <w:tcW w:type="dxa" w:w="3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TC-Auth-01</w:t>
            </w:r>
          </w:p>
        </w:tc>
        <w:tc>
          <w:tcPr>
            <w:tcW w:type="dxa" w:w="46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Unit, Integration</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SEBM-F-003</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TC-Auth-02</w:t>
            </w:r>
          </w:p>
        </w:tc>
        <w:tc>
          <w:tcPr>
            <w:tcW w:type="dxa" w:w="46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Unit, Integration</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SEBM-F-010</w:t>
            </w:r>
          </w:p>
        </w:tc>
        <w:tc>
          <w:tcPr>
            <w:tcW w:type="dxa" w:w="3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TC-Exp-01</w:t>
            </w:r>
          </w:p>
        </w:tc>
        <w:tc>
          <w:tcPr>
            <w:tcW w:type="dxa" w:w="46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Unit, Integration</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SEBM-F-011</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TC-Exp-02</w:t>
            </w:r>
          </w:p>
        </w:tc>
        <w:tc>
          <w:tcPr>
            <w:tcW w:type="dxa" w:w="46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Unit, Integration</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SEBM-F-012</w:t>
            </w:r>
          </w:p>
        </w:tc>
        <w:tc>
          <w:tcPr>
            <w:tcW w:type="dxa" w:w="3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TC-Exp-03</w:t>
            </w:r>
          </w:p>
        </w:tc>
        <w:tc>
          <w:tcPr>
            <w:tcW w:type="dxa" w:w="46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Integration</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SEBM-F-013</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TC-Exp-04</w:t>
            </w:r>
          </w:p>
        </w:tc>
        <w:tc>
          <w:tcPr>
            <w:tcW w:type="dxa" w:w="46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Unit, Integration</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SEBM-F-020</w:t>
            </w:r>
          </w:p>
        </w:tc>
        <w:tc>
          <w:tcPr>
            <w:tcW w:type="dxa" w:w="3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TC-Bud-01</w:t>
            </w:r>
          </w:p>
        </w:tc>
        <w:tc>
          <w:tcPr>
            <w:tcW w:type="dxa" w:w="46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Unit, Integration</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SEBM-F-021</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TC-Bud-02</w:t>
            </w:r>
          </w:p>
        </w:tc>
        <w:tc>
          <w:tcPr>
            <w:tcW w:type="dxa" w:w="46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Integration</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SEBM-F-022</w:t>
            </w:r>
          </w:p>
        </w:tc>
        <w:tc>
          <w:tcPr>
            <w:tcW w:type="dxa" w:w="3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TC-Bud-03</w:t>
            </w:r>
          </w:p>
        </w:tc>
        <w:tc>
          <w:tcPr>
            <w:tcW w:type="dxa" w:w="46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Unit, Integration</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SEBM-F-030</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TC-Acc-01</w:t>
            </w:r>
          </w:p>
        </w:tc>
        <w:tc>
          <w:tcPr>
            <w:tcW w:type="dxa" w:w="46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Unit, Integration</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SEBM-F-031</w:t>
            </w:r>
          </w:p>
        </w:tc>
        <w:tc>
          <w:tcPr>
            <w:tcW w:type="dxa" w:w="3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TC-Acc-02</w:t>
            </w:r>
          </w:p>
        </w:tc>
        <w:tc>
          <w:tcPr>
            <w:tcW w:type="dxa" w:w="46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Unit, Integration</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SEBM-F-040</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TC-Rep-01</w:t>
            </w:r>
          </w:p>
        </w:tc>
        <w:tc>
          <w:tcPr>
            <w:tcW w:type="dxa" w:w="46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Unit, Integration</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SEBM-F-041</w:t>
            </w:r>
          </w:p>
        </w:tc>
        <w:tc>
          <w:tcPr>
            <w:tcW w:type="dxa" w:w="3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TC-Rep-02</w:t>
            </w:r>
          </w:p>
        </w:tc>
        <w:tc>
          <w:tcPr>
            <w:tcW w:type="dxa" w:w="46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Integration</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SEBM-F-042</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TC-Rep-03</w:t>
            </w:r>
          </w:p>
        </w:tc>
        <w:tc>
          <w:tcPr>
            <w:tcW w:type="dxa" w:w="46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Unit</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SEBM-F-050</w:t>
            </w:r>
          </w:p>
        </w:tc>
        <w:tc>
          <w:tcPr>
            <w:tcW w:type="dxa" w:w="3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TC-Notif-01</w:t>
            </w:r>
          </w:p>
        </w:tc>
        <w:tc>
          <w:tcPr>
            <w:tcW w:type="dxa" w:w="46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Integration</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SEBM-F-051</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TC-Notif-02</w:t>
            </w:r>
          </w:p>
        </w:tc>
        <w:tc>
          <w:tcPr>
            <w:tcW w:type="dxa" w:w="46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Integration</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SEBM-NF-001</w:t>
            </w:r>
          </w:p>
        </w:tc>
        <w:tc>
          <w:tcPr>
            <w:tcW w:type="dxa" w:w="3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TC-Perf-01</w:t>
            </w:r>
          </w:p>
        </w:tc>
        <w:tc>
          <w:tcPr>
            <w:tcW w:type="dxa" w:w="46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Performance</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SEBM-NF-002</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Ops reports</w:t>
            </w:r>
          </w:p>
        </w:tc>
        <w:tc>
          <w:tcPr>
            <w:tcW w:type="dxa" w:w="46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Operational monitoring</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SEBM-NF-003</w:t>
            </w:r>
          </w:p>
        </w:tc>
        <w:tc>
          <w:tcPr>
            <w:tcW w:type="dxa" w:w="3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TC-Sec-01</w:t>
            </w:r>
          </w:p>
        </w:tc>
        <w:tc>
          <w:tcPr>
            <w:tcW w:type="dxa" w:w="46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Security</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SEBM-NF-004</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TC-UX-01</w:t>
            </w:r>
          </w:p>
        </w:tc>
        <w:tc>
          <w:tcPr>
            <w:tcW w:type="dxa" w:w="46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Accessibility</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SEBM-NF-005</w:t>
            </w:r>
          </w:p>
        </w:tc>
        <w:tc>
          <w:tcPr>
            <w:tcW w:type="dxa" w:w="3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TC-Scale-01</w:t>
            </w:r>
          </w:p>
        </w:tc>
        <w:tc>
          <w:tcPr>
            <w:tcW w:type="dxa" w:w="46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Performance</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SEBM-SR-001</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TC-Sec-02</w:t>
            </w:r>
          </w:p>
        </w:tc>
        <w:tc>
          <w:tcPr>
            <w:tcW w:type="dxa" w:w="46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Security</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SEBM-SR-002</w:t>
            </w:r>
          </w:p>
        </w:tc>
        <w:tc>
          <w:tcPr>
            <w:tcW w:type="dxa" w:w="3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TC-Sec-03</w:t>
            </w:r>
          </w:p>
        </w:tc>
        <w:tc>
          <w:tcPr>
            <w:tcW w:type="dxa" w:w="46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Security</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SEBM-SR-003</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TC-Sec-04</w:t>
            </w:r>
          </w:p>
        </w:tc>
        <w:tc>
          <w:tcPr>
            <w:tcW w:type="dxa" w:w="46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Security</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SEBM-SR-004</w:t>
            </w:r>
          </w:p>
        </w:tc>
        <w:tc>
          <w:tcPr>
            <w:tcW w:type="dxa" w:w="3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TC-Sec-05</w:t>
            </w:r>
          </w:p>
        </w:tc>
        <w:tc>
          <w:tcPr>
            <w:tcW w:type="dxa" w:w="46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Security</w:t>
            </w:r>
          </w:p>
        </w:tc>
      </w:tr>
      <w:tr>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SEBM-SR-005</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TC-Sec-06</w:t>
            </w:r>
          </w:p>
        </w:tc>
        <w:tc>
          <w:tcPr>
            <w:tcW w:type="dxa" w:w="46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Security</w:t>
            </w:r>
          </w:p>
        </w:tc>
      </w:tr>
    </w:tbl>
    <w:p>
      <w:pPr>
        <w:pStyle w:val="Heading1"/>
        <w:spacing w:after="140" w:before="280"/>
      </w:pPr>
      <w:r>
        <w:rPr>
          <w:b/>
          <w:bCs/>
          <w:color w:val="1F6391"/>
        </w:rPr>
        <w:t xml:space="preserve">14. Test Metrics &amp; Reporting</w:t>
      </w:r>
    </w:p>
    <w:p>
      <w:pPr>
        <w:spacing w:after="120"/>
      </w:pPr>
      <w:r>
        <w:t xml:space="preserve">Metrics collected:</w:t>
      </w:r>
    </w:p>
    <w:p>
      <w:pPr>
        <w:pStyle w:val="ListParagraph"/>
        <w:numPr>
          <w:ilvl w:val="0"/>
          <w:numId w:val="1"/>
        </w:numPr>
        <w:spacing w:after="60"/>
      </w:pPr>
      <w:r>
        <w:t xml:space="preserve">% test cases executed</w:t>
      </w:r>
    </w:p>
    <w:p>
      <w:pPr>
        <w:pStyle w:val="ListParagraph"/>
        <w:numPr>
          <w:ilvl w:val="0"/>
          <w:numId w:val="1"/>
        </w:numPr>
        <w:spacing w:after="60"/>
      </w:pPr>
      <w:r>
        <w:t xml:space="preserve">% passed/failed</w:t>
      </w:r>
    </w:p>
    <w:p>
      <w:pPr>
        <w:pStyle w:val="ListParagraph"/>
        <w:numPr>
          <w:ilvl w:val="0"/>
          <w:numId w:val="1"/>
        </w:numPr>
        <w:spacing w:after="60"/>
      </w:pPr>
      <w:r>
        <w:t xml:space="preserve">Defect density</w:t>
      </w:r>
    </w:p>
    <w:p>
      <w:pPr>
        <w:pStyle w:val="ListParagraph"/>
        <w:numPr>
          <w:ilvl w:val="0"/>
          <w:numId w:val="1"/>
        </w:numPr>
        <w:spacing w:after="60"/>
      </w:pPr>
      <w:r>
        <w:t xml:space="preserve">Defect aging</w:t>
      </w:r>
    </w:p>
    <w:p>
      <w:pPr>
        <w:pStyle w:val="ListParagraph"/>
        <w:numPr>
          <w:ilvl w:val="0"/>
          <w:numId w:val="1"/>
        </w:numPr>
        <w:spacing w:after="60"/>
      </w:pPr>
      <w:r>
        <w:t xml:space="preserve">Requirement coverage (against SRS Req IDs)</w:t>
      </w:r>
    </w:p>
    <w:p>
      <w:pPr>
        <w:spacing w:after="120"/>
      </w:pPr>
      <w:r>
        <w:t xml:space="preserve">Reports:</w:t>
      </w:r>
    </w:p>
    <w:p>
      <w:pPr>
        <w:pStyle w:val="ListParagraph"/>
        <w:numPr>
          <w:ilvl w:val="0"/>
          <w:numId w:val="1"/>
        </w:numPr>
        <w:spacing w:after="60"/>
      </w:pPr>
      <w:r>
        <w:t xml:space="preserve">Daily execution status</w:t>
      </w:r>
    </w:p>
    <w:p>
      <w:pPr>
        <w:pStyle w:val="ListParagraph"/>
        <w:numPr>
          <w:ilvl w:val="0"/>
          <w:numId w:val="1"/>
        </w:numPr>
        <w:spacing w:after="60"/>
      </w:pPr>
      <w:r>
        <w:t xml:space="preserve">Final Test Summary Report</w:t>
      </w:r>
    </w:p>
    <w:p>
      <w:pPr>
        <w:pStyle w:val="Heading1"/>
        <w:spacing w:after="140" w:before="280"/>
      </w:pPr>
      <w:r>
        <w:rPr>
          <w:b/>
          <w:bCs/>
          <w:color w:val="1F6391"/>
        </w:rPr>
        <w:t xml:space="preserve">15. Approvals</w:t>
      </w:r>
    </w:p>
    <w:tbl>
      <w:tblPr>
        <w:tblW w:type="dxa" w:w="10228"/>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428"/>
      </w:tblGrid>
      <w:tr>
        <w:trPr>
          <w:tblHeader/>
        </w:trPr>
        <w:tc>
          <w:tcPr>
            <w:tcW w:type="dxa" w:w="2400"/>
            <w:tcBorders>
              <w:top w:val="single" w:color="999999" w:sz="4"/>
              <w:left w:val="single" w:color="999999" w:sz="4"/>
              <w:bottom w:val="single" w:color="999999" w:sz="4"/>
              <w:right w:val="single" w:color="999999" w:sz="4"/>
            </w:tcBorders>
            <w:shd w:fill="1F6391" w:val="clear"/>
            <w:tcMar>
              <w:top w:type="dxa" w:w="60"/>
              <w:left w:type="dxa" w:w="80"/>
              <w:bottom w:type="dxa" w:w="60"/>
              <w:right w:type="dxa" w:w="80"/>
            </w:tcMar>
            <w:vAlign w:val="center"/>
          </w:tcPr>
          <w:p>
            <w:r>
              <w:rPr>
                <w:b/>
                <w:bCs/>
                <w:color w:val="FFFFFF"/>
                <w:sz w:val="20"/>
                <w:szCs w:val="20"/>
              </w:rPr>
              <w:t xml:space="preserve">Role</w:t>
            </w:r>
          </w:p>
        </w:tc>
        <w:tc>
          <w:tcPr>
            <w:tcW w:type="dxa" w:w="4400"/>
            <w:tcBorders>
              <w:top w:val="single" w:color="999999" w:sz="4"/>
              <w:left w:val="single" w:color="999999" w:sz="4"/>
              <w:bottom w:val="single" w:color="999999" w:sz="4"/>
              <w:right w:val="single" w:color="999999" w:sz="4"/>
            </w:tcBorders>
            <w:shd w:fill="1F6391" w:val="clear"/>
            <w:tcMar>
              <w:top w:type="dxa" w:w="60"/>
              <w:left w:type="dxa" w:w="80"/>
              <w:bottom w:type="dxa" w:w="60"/>
              <w:right w:type="dxa" w:w="80"/>
            </w:tcMar>
            <w:vAlign w:val="center"/>
          </w:tcPr>
          <w:p>
            <w:r>
              <w:rPr>
                <w:b/>
                <w:bCs/>
                <w:color w:val="FFFFFF"/>
                <w:sz w:val="20"/>
                <w:szCs w:val="20"/>
              </w:rPr>
              <w:t xml:space="preserve">Name</w:t>
            </w:r>
          </w:p>
        </w:tc>
        <w:tc>
          <w:tcPr>
            <w:tcW w:type="dxa" w:w="3428"/>
            <w:tcBorders>
              <w:top w:val="single" w:color="999999" w:sz="4"/>
              <w:left w:val="single" w:color="999999" w:sz="4"/>
              <w:bottom w:val="single" w:color="999999" w:sz="4"/>
              <w:right w:val="single" w:color="999999" w:sz="4"/>
            </w:tcBorders>
            <w:shd w:fill="1F6391" w:val="clear"/>
            <w:tcMar>
              <w:top w:type="dxa" w:w="60"/>
              <w:left w:type="dxa" w:w="80"/>
              <w:bottom w:type="dxa" w:w="60"/>
              <w:right w:type="dxa" w:w="80"/>
            </w:tcMar>
            <w:vAlign w:val="center"/>
          </w:tcPr>
          <w:p>
            <w:r>
              <w:rPr>
                <w:b/>
                <w:bCs/>
                <w:color w:val="FFFFFF"/>
                <w:sz w:val="20"/>
                <w:szCs w:val="20"/>
              </w:rPr>
              <w:t xml:space="preserve">Signature / Date</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Dev A (Scrum Master)</w:t>
            </w:r>
          </w:p>
        </w:tc>
        <w:tc>
          <w:tcPr>
            <w:tcW w:type="dxa" w:w="4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Taran S</w:t>
            </w:r>
          </w:p>
        </w:tc>
        <w:tc>
          <w:tcPr>
            <w:tcW w:type="dxa" w:w="34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Dev B</w:t>
            </w:r>
          </w:p>
        </w:tc>
        <w:tc>
          <w:tcPr>
            <w:tcW w:type="dxa" w:w="44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Suryatej Vojjala</w:t>
            </w:r>
          </w:p>
        </w:tc>
        <w:tc>
          <w:tcPr>
            <w:tcW w:type="dxa" w:w="34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Dev C</w:t>
            </w:r>
          </w:p>
        </w:tc>
        <w:tc>
          <w:tcPr>
            <w:tcW w:type="dxa" w:w="4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Sujay P Nayak</w:t>
            </w:r>
          </w:p>
        </w:tc>
        <w:tc>
          <w:tcPr>
            <w:tcW w:type="dxa" w:w="34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Dev D</w:t>
            </w:r>
          </w:p>
        </w:tc>
        <w:tc>
          <w:tcPr>
            <w:tcW w:type="dxa" w:w="44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Surya Raju Naik</w:t>
            </w:r>
          </w:p>
        </w:tc>
        <w:tc>
          <w:tcPr>
            <w:tcW w:type="dxa" w:w="3428"/>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r>
              <w:rPr>
                <w:sz w:val="19"/>
                <w:szCs w:val="19"/>
              </w:rPr>
              <w:t xml:space="preserve"/>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Product Owner</w:t>
            </w:r>
          </w:p>
        </w:tc>
        <w:tc>
          <w:tcPr>
            <w:tcW w:type="dxa" w:w="4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Niveditha Reddy</w:t>
            </w:r>
          </w:p>
        </w:tc>
        <w:tc>
          <w:tcPr>
            <w:tcW w:type="dxa" w:w="342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sz w:val="19"/>
                <w:szCs w:val="19"/>
              </w:rPr>
              <w:t xml:space="preserve"/>
            </w:r>
          </w:p>
        </w:tc>
      </w:tr>
    </w:tbl>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2026-10-14T02:40:22.022Z</dcterms:created>
  <dcterms:modified xsi:type="dcterms:W3CDTF">2026-10-14T02:40:22.036Z</dcterms:modified>
</cp:coreProperties>
</file>

<file path=docProps/custom.xml><?xml version="1.0" encoding="utf-8"?>
<Properties xmlns="http://schemas.openxmlformats.org/officeDocument/2006/custom-properties" xmlns:vt="http://schemas.openxmlformats.org/officeDocument/2006/docPropsVTypes"/>
</file>