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pPr>
    </w:p>
    <w:p>
      <w:pPr>
        <w:spacing w:after="0"/>
        <w:jc w:val="center"/>
      </w:pPr>
      <w:r>
        <w:rPr>
          <w:rFonts w:ascii="Calibri" w:cs="Calibri" w:eastAsia="Calibri" w:hAnsi="Calibri"/>
          <w:color w:val="595959"/>
          <w:sz w:val="24"/>
          <w:szCs w:val="24"/>
        </w:rPr>
        <w:t xml:space="preserve">H.J. Baker &amp; Bro., LLC</w:t>
      </w:r>
    </w:p>
    <w:p>
      <w:pPr>
        <w:spacing w:after="60" w:before="320"/>
        <w:jc w:val="center"/>
      </w:pPr>
      <w:r>
        <w:rPr>
          <w:rFonts w:ascii="Calibri Light" w:cs="Calibri Light" w:eastAsia="Calibri Light" w:hAnsi="Calibri Light"/>
          <w:b/>
          <w:bCs/>
          <w:color w:val="1F3864"/>
          <w:sz w:val="60"/>
          <w:szCs w:val="60"/>
        </w:rPr>
        <w:t xml:space="preserve">AP Invoice Processing Platform</w:t>
      </w:r>
    </w:p>
    <w:p>
      <w:pPr>
        <w:spacing w:after="0"/>
        <w:jc w:val="center"/>
      </w:pPr>
      <w:r>
        <w:rPr>
          <w:rFonts w:ascii="Calibri Light" w:cs="Calibri Light" w:eastAsia="Calibri Light" w:hAnsi="Calibri Light"/>
          <w:color w:val="2F5496"/>
          <w:sz w:val="32"/>
          <w:szCs w:val="32"/>
        </w:rPr>
        <w:t xml:space="preserve">Product Requirements Document</w:t>
      </w:r>
    </w:p>
    <w:p>
      <w:pPr>
        <w:pBdr>
          <w:bottom w:val="single" w:color="BFBFBF" w:sz="6" w:space="8"/>
        </w:pBdr>
        <w:spacing w:after="0" w:before="140"/>
        <w:jc w:val="center"/>
      </w:pPr>
      <w:r>
        <w:t xml:space="preserve"> </w:t>
      </w:r>
    </w:p>
    <w:p>
      <w:pPr>
        <w:spacing w:after="0" w:before="200"/>
        <w:jc w:val="center"/>
      </w:pPr>
      <w:r>
        <w:rPr>
          <w:rFonts w:ascii="Calibri" w:cs="Calibri" w:eastAsia="Calibri" w:hAnsi="Calibri"/>
          <w:i/>
          <w:iCs/>
          <w:color w:val="595959"/>
          <w:sz w:val="20"/>
          <w:szCs w:val="20"/>
        </w:rPr>
        <w:t xml:space="preserve">The product specification in one compact document: what the platform does, how each document type is handled, the rules it enforces, and how it is accepted.</w:t>
      </w:r>
    </w:p>
    <w:p>
      <w:pPr>
        <w:spacing w:after="2900"/>
      </w:pPr>
    </w:p>
    <w:p>
      <w:pPr>
        <w:spacing w:after="0"/>
        <w:jc w:val="center"/>
      </w:pPr>
      <w:r>
        <w:rPr>
          <w:rFonts w:ascii="Calibri" w:cs="Calibri" w:eastAsia="Calibri" w:hAnsi="Calibri"/>
          <w:color w:val="595959"/>
          <w:sz w:val="22"/>
          <w:szCs w:val="22"/>
        </w:rPr>
        <w:t xml:space="preserve">1 August 2026</w:t>
      </w:r>
    </w:p>
    <w:p>
      <w:pPr>
        <w:spacing w:before="40"/>
        <w:jc w:val="center"/>
      </w:pPr>
      <w:r>
        <w:rPr>
          <w:rFonts w:ascii="Calibri" w:cs="Calibri" w:eastAsia="Calibri" w:hAnsi="Calibri"/>
          <w:color w:val="595959"/>
          <w:sz w:val="22"/>
          <w:szCs w:val="22"/>
        </w:rPr>
        <w:t xml:space="preserve">Prepared by Alferix</w:t>
      </w:r>
    </w:p>
    <w:p>
      <w:r>
        <w:br w:type="page"/>
      </w:r>
    </w:p>
    <w:p>
      <w:pPr>
        <w:keepNext/>
        <w:pBdr>
          <w:bottom w:val="single" w:color="4472C4" w:sz="8" w:space="6"/>
        </w:pBdr>
        <w:spacing w:after="160" w:before="60"/>
      </w:pPr>
      <w:r>
        <w:rPr>
          <w:rFonts w:ascii="Calibri Light" w:cs="Calibri Light" w:eastAsia="Calibri Light" w:hAnsi="Calibri Light"/>
          <w:b/>
          <w:bCs/>
          <w:color w:val="1F3864"/>
          <w:sz w:val="30"/>
          <w:szCs w:val="30"/>
        </w:rPr>
        <w:t xml:space="preserve">Document control</w:t>
      </w:r>
    </w:p>
    <w:p>
      <w:pPr>
        <w:keepNext/>
        <w:spacing w:after="70" w:before="200"/>
      </w:pPr>
      <w:r>
        <w:rPr>
          <w:rFonts w:ascii="Calibri Light" w:cs="Calibri Light" w:eastAsia="Calibri Light" w:hAnsi="Calibri Light"/>
          <w:b/>
          <w:bCs/>
          <w:color w:val="2F5496"/>
          <w:sz w:val="22"/>
          <w:szCs w:val="22"/>
        </w:rPr>
        <w:t xml:space="preserve">Document information</w:t>
      </w:r>
    </w:p>
    <w:tbl>
      <w:tblPr>
        <w:tblW w:type="dxa" w:w="9360"/>
        <w:tblBorders>
          <w:top w:val="single" w:color="BFBFBF" w:sz="4"/>
          <w:left w:val="none" w:color="FFFFFF" w:sz="0"/>
          <w:bottom w:val="single" w:color="BFBFBF" w:sz="4"/>
          <w:right w:val="none" w:color="FFFFFF" w:sz="0"/>
          <w:insideH w:val="single" w:color="BFBFBF" w:sz="4"/>
          <w:insideV w:val="none" w:color="FFFFFF" w:sz="0"/>
        </w:tblBorders>
      </w:tblPr>
      <w:tblGrid>
        <w:gridCol w:w="3000"/>
        <w:gridCol w:w="6360"/>
      </w:tblGrid>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Document</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Product Requirements Document</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Version</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1.1</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Date</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1 August 2026</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Prepared by</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Alferix</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Prepared for</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H.J. Baker &amp; Bro., LLC</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Replaces</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Blue Creek (Vision360)</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System of record</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Sage X3</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Companion documents</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Statement of Work, Solution Blueprint</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Status</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For client review</w:t>
            </w:r>
          </w:p>
        </w:tc>
      </w:tr>
    </w:tbl>
    <w:p>
      <w:pPr>
        <w:spacing w:after="160"/>
      </w:pPr>
    </w:p>
    <w:p>
      <w:pPr>
        <w:keepNext/>
        <w:spacing w:after="70" w:before="200"/>
      </w:pPr>
      <w:r>
        <w:rPr>
          <w:rFonts w:ascii="Calibri Light" w:cs="Calibri Light" w:eastAsia="Calibri Light" w:hAnsi="Calibri Light"/>
          <w:b/>
          <w:bCs/>
          <w:color w:val="2F5496"/>
          <w:sz w:val="22"/>
          <w:szCs w:val="22"/>
        </w:rPr>
        <w:t xml:space="preserve">Revision history</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1100"/>
        <w:gridCol w:w="2753"/>
        <w:gridCol w:w="2753"/>
        <w:gridCol w:w="2754"/>
      </w:tblGrid>
      <w:tr>
        <w:trPr>
          <w:tblHeader/>
        </w:trPr>
        <w:tc>
          <w:tcPr>
            <w:tcW w:type="dxa" w:w="1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Version</w:t>
            </w:r>
          </w:p>
        </w:tc>
        <w:tc>
          <w:tcPr>
            <w:tcW w:type="dxa" w:w="2753"/>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Date</w:t>
            </w:r>
          </w:p>
        </w:tc>
        <w:tc>
          <w:tcPr>
            <w:tcW w:type="dxa" w:w="2753"/>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Author</w:t>
            </w:r>
          </w:p>
        </w:tc>
        <w:tc>
          <w:tcPr>
            <w:tcW w:type="dxa" w:w="2754"/>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Summary of change</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1.0</w:t>
            </w:r>
          </w:p>
        </w:tc>
        <w:tc>
          <w:tcPr>
            <w:tcW w:type="dxa" w:w="2753"/>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31 Jul 2026</w:t>
            </w:r>
          </w:p>
        </w:tc>
        <w:tc>
          <w:tcPr>
            <w:tcW w:type="dxa" w:w="2753"/>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Alferix</w:t>
            </w:r>
          </w:p>
        </w:tc>
        <w:tc>
          <w:tcPr>
            <w:tcW w:type="dxa" w:w="2754"/>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First issue for client review</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1.1</w:t>
            </w:r>
          </w:p>
        </w:tc>
        <w:tc>
          <w:tcPr>
            <w:tcW w:type="dxa" w:w="2753"/>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1 Aug 2026</w:t>
            </w:r>
          </w:p>
        </w:tc>
        <w:tc>
          <w:tcPr>
            <w:tcW w:type="dxa" w:w="2753"/>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Alferix</w:t>
            </w:r>
          </w:p>
        </w:tc>
        <w:tc>
          <w:tcPr>
            <w:tcW w:type="dxa" w:w="2754"/>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Rebuilt as a compact specification with a single end-to-end architecture diagram</w:t>
            </w:r>
          </w:p>
        </w:tc>
      </w:tr>
    </w:tbl>
    <w:p>
      <w:pPr>
        <w:spacing w:after="140"/>
      </w:pPr>
    </w:p>
    <w:p>
      <w:r>
        <w:br w:type="page"/>
      </w:r>
    </w:p>
    <w:p>
      <w:pPr>
        <w:keepNext/>
        <w:pBdr>
          <w:bottom w:val="single" w:color="4472C4" w:sz="8" w:space="6"/>
        </w:pBdr>
        <w:spacing w:after="160" w:before="60"/>
      </w:pPr>
      <w:r>
        <w:rPr>
          <w:rFonts w:ascii="Calibri Light" w:cs="Calibri Light" w:eastAsia="Calibri Light" w:hAnsi="Calibri Light"/>
          <w:b/>
          <w:bCs/>
          <w:color w:val="1F3864"/>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Introduction</w:t>
      </w:r>
    </w:p>
    <w:p>
      <w:pPr>
        <w:spacing w:after="160" w:line="259"/>
      </w:pPr>
      <w:r>
        <w:rPr>
          <w:rFonts w:ascii="Calibri" w:cs="Calibri" w:eastAsia="Calibri" w:hAnsi="Calibri"/>
          <w:b w:val="false"/>
          <w:bCs w:val="false"/>
          <w:i w:val="false"/>
          <w:iCs w:val="false"/>
          <w:color w:val="262626"/>
          <w:sz w:val="22"/>
          <w:szCs w:val="22"/>
        </w:rPr>
        <w:t xml:space="preserve">H.J. Baker processes accounts payable for seven operating companies through a single mailbox and Sage X3. The current tool, Blue Creek, holds the document image and routes it for approval; the keying, coding and matching all happen by hand in Sage afterwards, and that manual effort is the largest cost in the process.</w:t>
      </w:r>
    </w:p>
    <w:p>
      <w:pPr>
        <w:spacing w:after="160" w:line="259"/>
      </w:pPr>
      <w:r>
        <w:rPr>
          <w:rFonts w:ascii="Calibri" w:cs="Calibri" w:eastAsia="Calibri" w:hAnsi="Calibri"/>
          <w:b w:val="false"/>
          <w:bCs w:val="false"/>
          <w:i w:val="false"/>
          <w:iCs w:val="false"/>
          <w:color w:val="262626"/>
          <w:sz w:val="22"/>
          <w:szCs w:val="22"/>
        </w:rPr>
        <w:t xml:space="preserve">This platform replaces Blue Creek and automates the journey from arrival to payment. Every document is read and classified by AI, matched against Sage, routed for approval within the right limits, and posted back to Sage with its image attached, with people stepping in only where a genuine decision is required.</w:t>
      </w:r>
    </w:p>
    <w:p>
      <w:pPr>
        <w:spacing w:after="160" w:line="259"/>
      </w:pPr>
      <w:r>
        <w:rPr>
          <w:rFonts w:ascii="Calibri" w:cs="Calibri" w:eastAsia="Calibri" w:hAnsi="Calibri"/>
          <w:b w:val="false"/>
          <w:bCs w:val="false"/>
          <w:i w:val="false"/>
          <w:iCs w:val="false"/>
          <w:color w:val="262626"/>
          <w:sz w:val="22"/>
          <w:szCs w:val="22"/>
        </w:rPr>
        <w:t xml:space="preserve">This document specifies the product. Delivery approach, timeline and commercials are set out in the Statement of Work; where the two differ, this PRD governs product functionality.</w:t>
      </w:r>
    </w:p>
    <w:p>
      <w:pPr>
        <w:keepNext/>
        <w:spacing w:after="60" w:before="180"/>
      </w:pPr>
      <w:r>
        <w:rPr>
          <w:rFonts w:ascii="Calibri" w:cs="Calibri" w:eastAsia="Calibri" w:hAnsi="Calibri"/>
          <w:b/>
          <w:bCs/>
          <w:color w:val="2F5496"/>
          <w:sz w:val="18"/>
          <w:szCs w:val="18"/>
        </w:rPr>
        <w:t xml:space="preserve">Table 1. </w:t>
      </w:r>
      <w:r>
        <w:rPr>
          <w:rFonts w:ascii="Calibri" w:cs="Calibri" w:eastAsia="Calibri" w:hAnsi="Calibri"/>
          <w:i/>
          <w:iCs/>
          <w:color w:val="595959"/>
          <w:sz w:val="18"/>
          <w:szCs w:val="18"/>
        </w:rPr>
        <w:t xml:space="preserve">At a glance</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00"/>
        <w:gridCol w:w="6260"/>
      </w:tblGrid>
      <w:tr>
        <w:trPr>
          <w:tblHeader/>
        </w:trPr>
        <w:tc>
          <w:tcPr>
            <w:tcW w:type="dxa" w:w="3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p>
        </w:tc>
        <w:tc>
          <w:tcPr>
            <w:tcW w:type="dxa" w:w="626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Replaces</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Blue Creek (Vision360)</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System of record</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Sage X3, which stays the ledger; the platform never becomes a second set of books</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Document types</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PO, Non-PO, Prepayment, Credit, Rebill</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Operating companies</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Seven, across USD, CAD and GBP</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Volume</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About 3,000 to 3,300 invoices a month (from the Sage export sample)</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Objectives and success measures</w:t>
      </w:r>
    </w:p>
    <w:p>
      <w:pPr>
        <w:spacing w:after="160" w:line="259"/>
      </w:pPr>
      <w:r>
        <w:rPr>
          <w:rFonts w:ascii="Calibri" w:cs="Calibri" w:eastAsia="Calibri" w:hAnsi="Calibri"/>
          <w:b w:val="false"/>
          <w:bCs w:val="false"/>
          <w:i w:val="false"/>
          <w:iCs w:val="false"/>
          <w:color w:val="262626"/>
          <w:sz w:val="22"/>
          <w:szCs w:val="22"/>
        </w:rPr>
        <w:t xml:space="preserve">The platform is measured against outcomes, reported at the end of hypercare.</w:t>
      </w:r>
    </w:p>
    <w:p>
      <w:pPr>
        <w:keepNext/>
        <w:spacing w:after="60" w:before="180"/>
      </w:pPr>
      <w:r>
        <w:rPr>
          <w:rFonts w:ascii="Calibri" w:cs="Calibri" w:eastAsia="Calibri" w:hAnsi="Calibri"/>
          <w:b/>
          <w:bCs/>
          <w:color w:val="2F5496"/>
          <w:sz w:val="18"/>
          <w:szCs w:val="18"/>
        </w:rPr>
        <w:t xml:space="preserve">Table 2. </w:t>
      </w:r>
      <w:r>
        <w:rPr>
          <w:rFonts w:ascii="Calibri" w:cs="Calibri" w:eastAsia="Calibri" w:hAnsi="Calibri"/>
          <w:i/>
          <w:iCs/>
          <w:color w:val="595959"/>
          <w:sz w:val="18"/>
          <w:szCs w:val="18"/>
        </w:rPr>
        <w:t xml:space="preserve">Objectives and success measures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Objective</w:t>
            </w:r>
          </w:p>
        </w:tc>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Measure</w:t>
            </w:r>
          </w:p>
        </w:tc>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Target</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Reduce manual coding</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Lines requiring manual entry</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Under 15% of all lines</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Straight-through processing</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PO invoices reaching approval with no human edit</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70% or better</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Classification accuracy</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Documents routed to the correct queue without human correction</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95% or better</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Cycle time</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Arrival to Sage document created, median</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Under one working day</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Settlement integrity</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Rebill chains with all three Sage numbers linked</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100% of settled rebills</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Nothing lost</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Documents in a queue with no owner and no next action</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Zero</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Scope</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In scope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Intake from the AP mailbox, including multi-attachment emails and scanned batches.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AI extraction of header and line data with per-field confidence, and AI classification into five document types.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The five processing flows in full, including every point where a person must decide.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Two- and three-way matching against Sage purchase orders and receipts, and line coding from orders and templates.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Approval hierarchy, limits, escalation, delegation and email approval; rule-driven AP final review.</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Creation of purchase invoices and credit memos in Sage with the image attached, document-number write-back, and payment feedback.</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Prepayment positions and drawdown; credit and rebill settlement chains.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Search, dashboards, analytics and a complete audit trail; administration of routing rules, templates, reference lists and users.</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Out of scope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Purchase order creation, confirmed as manual; the platform asks for the order number or codes a supplier invoice from a template.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Any change inside Sage X3, Sage licensing and Sage-side development, which sit with Net at Work.</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Requisitioning, goods receipting, inventory and the general ledger; payment execution and bank files.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Vendor portal, vendor onboarding and statement reconciliation; accounts receivable, expenses and payroll.</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Hosting, infrastructure and service levels, which are commercial matters covered in the Statement of Work.</w:t>
      </w: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Solution architecture</w:t>
      </w:r>
    </w:p>
    <w:p>
      <w:pPr>
        <w:spacing w:after="160" w:line="259"/>
      </w:pPr>
      <w:r>
        <w:rPr>
          <w:rFonts w:ascii="Calibri" w:cs="Calibri" w:eastAsia="Calibri" w:hAnsi="Calibri"/>
          <w:b w:val="false"/>
          <w:bCs w:val="false"/>
          <w:i w:val="false"/>
          <w:iCs w:val="false"/>
          <w:color w:val="262626"/>
          <w:sz w:val="22"/>
          <w:szCs w:val="22"/>
        </w:rPr>
        <w:t xml:space="preserve">One route in, one classification decision, five processing paths, one system of record. A document arrives, is read and classified, is routed to the path for its type, is validated and matched against Sage, is approved within the right limits, and is posted to Sage, which returns the document number and, later, the payment.</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c>
          <w:tcPr>
            <w:tcW w:type="dxa" w:w="9360"/>
            <w:shd w:fill="F2F6FC" w:color="auto" w:val="clear"/>
            <w:tcMar>
              <w:top w:type="dxa" w:w="1200"/>
              <w:left w:type="dxa" w:w="200"/>
              <w:bottom w:type="dxa" w:w="1200"/>
              <w:right w:type="dxa" w:w="200"/>
            </w:tcMar>
          </w:tcPr>
          <w:p>
            <w:pPr>
              <w:spacing w:after="0"/>
              <w:jc w:val="center"/>
            </w:pPr>
            <w:r>
              <w:rPr>
                <w:rFonts w:ascii="Calibri" w:cs="Calibri" w:eastAsia="Calibri" w:hAnsi="Calibri"/>
                <w:i/>
                <w:iCs/>
                <w:color w:val="595959"/>
                <w:sz w:val="20"/>
                <w:szCs w:val="20"/>
              </w:rPr>
              <w:t xml:space="preserve">[ architecture diagram: ap-architecture.png ]</w:t>
            </w:r>
          </w:p>
        </w:tc>
      </w:tr>
    </w:tbl>
    <w:p>
      <w:pPr>
        <w:spacing w:after="160" w:before="60"/>
        <w:jc w:val="center"/>
      </w:pPr>
      <w:r>
        <w:rPr>
          <w:rFonts w:ascii="Calibri" w:cs="Calibri" w:eastAsia="Calibri" w:hAnsi="Calibri"/>
          <w:b/>
          <w:bCs/>
          <w:color w:val="2F5496"/>
          <w:sz w:val="18"/>
          <w:szCs w:val="18"/>
        </w:rPr>
        <w:t xml:space="preserve">Figure 1. </w:t>
      </w:r>
      <w:r>
        <w:rPr>
          <w:rFonts w:ascii="Calibri" w:cs="Calibri" w:eastAsia="Calibri" w:hAnsi="Calibri"/>
          <w:i/>
          <w:iCs/>
          <w:color w:val="595959"/>
          <w:sz w:val="18"/>
          <w:szCs w:val="18"/>
        </w:rPr>
        <w:t xml:space="preserve">Accounts payable end to end, across all five document types.</w:t>
      </w:r>
    </w:p>
    <w:p>
      <w:pPr>
        <w:spacing w:after="160" w:line="259"/>
      </w:pPr>
      <w:r>
        <w:rPr>
          <w:rFonts w:ascii="Calibri" w:cs="Calibri" w:eastAsia="Calibri" w:hAnsi="Calibri"/>
          <w:b w:val="false"/>
          <w:bCs w:val="false"/>
          <w:i w:val="false"/>
          <w:iCs w:val="false"/>
          <w:color w:val="262626"/>
          <w:sz w:val="22"/>
          <w:szCs w:val="22"/>
        </w:rPr>
        <w:t xml:space="preserve">Sage X3 stays the system of record throughout. Master data is read live at the moment it is needed, so the platform never works from a stale copy, and each document is written with its image attached in a single confirmed call.</w:t>
      </w:r>
    </w:p>
    <w:p>
      <w:pPr>
        <w:keepNext/>
        <w:spacing w:after="60" w:before="180"/>
      </w:pPr>
      <w:r>
        <w:rPr>
          <w:rFonts w:ascii="Calibri" w:cs="Calibri" w:eastAsia="Calibri" w:hAnsi="Calibri"/>
          <w:b/>
          <w:bCs/>
          <w:color w:val="2F5496"/>
          <w:sz w:val="18"/>
          <w:szCs w:val="18"/>
        </w:rPr>
        <w:t xml:space="preserve">Table 3. </w:t>
      </w:r>
      <w:r>
        <w:rPr>
          <w:rFonts w:ascii="Calibri" w:cs="Calibri" w:eastAsia="Calibri" w:hAnsi="Calibri"/>
          <w:i/>
          <w:iCs/>
          <w:color w:val="595959"/>
          <w:sz w:val="18"/>
          <w:szCs w:val="18"/>
        </w:rPr>
        <w:t xml:space="preserve">The pipeline, stage by stage</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00"/>
        <w:gridCol w:w="6260"/>
      </w:tblGrid>
      <w:tr>
        <w:trPr>
          <w:tblHeader/>
        </w:trPr>
        <w:tc>
          <w:tcPr>
            <w:tcW w:type="dxa" w:w="3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Stage</w:t>
            </w:r>
          </w:p>
        </w:tc>
        <w:tc>
          <w:tcPr>
            <w:tcW w:type="dxa" w:w="626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What happens</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1. Ingest and capture</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Ingest each attachment, split batch scans, refuse duplicates, and extract header and lines with per-field confidence</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2. Classify</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Route to one of five document types by rule; below the confidence threshold, hold for a person to classify</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3. Business processing</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Run the flow for the document type: match, code, register prepayments, or link settlement chains</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4. Controls and approvals</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Route by hierarchy and limit; apply the business-rule engine and AP final review where a rule fires</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5. Sage X3 posting</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Create the purchase invoice or credit memo with the image; capture the returned PIN or PCM</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6. Payment and records</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Capture payment status; keep a complete, searchable, auditable record</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Core capabilities</w:t>
      </w:r>
    </w:p>
    <w:p>
      <w:pPr>
        <w:spacing w:after="160" w:line="259"/>
      </w:pPr>
      <w:r>
        <w:rPr>
          <w:rFonts w:ascii="Calibri" w:cs="Calibri" w:eastAsia="Calibri" w:hAnsi="Calibri"/>
          <w:b w:val="false"/>
          <w:bCs w:val="false"/>
          <w:i w:val="false"/>
          <w:iCs w:val="false"/>
          <w:color w:val="262626"/>
          <w:sz w:val="22"/>
          <w:szCs w:val="22"/>
        </w:rPr>
        <w:t xml:space="preserve">Ten capabilities carry the platform.</w:t>
      </w:r>
    </w:p>
    <w:p>
      <w:pPr>
        <w:keepNext/>
        <w:spacing w:after="60" w:before="180"/>
      </w:pPr>
      <w:r>
        <w:rPr>
          <w:rFonts w:ascii="Calibri" w:cs="Calibri" w:eastAsia="Calibri" w:hAnsi="Calibri"/>
          <w:b/>
          <w:bCs/>
          <w:color w:val="2F5496"/>
          <w:sz w:val="18"/>
          <w:szCs w:val="18"/>
        </w:rPr>
        <w:t xml:space="preserve">Table 4. </w:t>
      </w:r>
      <w:r>
        <w:rPr>
          <w:rFonts w:ascii="Calibri" w:cs="Calibri" w:eastAsia="Calibri" w:hAnsi="Calibri"/>
          <w:i/>
          <w:iCs/>
          <w:color w:val="595959"/>
          <w:sz w:val="18"/>
          <w:szCs w:val="18"/>
        </w:rPr>
        <w:t xml:space="preserve">Core capabilities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00"/>
        <w:gridCol w:w="6260"/>
      </w:tblGrid>
      <w:tr>
        <w:trPr>
          <w:tblHeader/>
        </w:trPr>
        <w:tc>
          <w:tcPr>
            <w:tcW w:type="dxa" w:w="3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Capability</w:t>
            </w:r>
          </w:p>
        </w:tc>
        <w:tc>
          <w:tcPr>
            <w:tcW w:type="dxa" w:w="626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What it delivers</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Document intake</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Ingests every attachment as its own record, splits batch scans, preserves the source email, and refuses duplicates on vendor, number and amount</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AI extraction</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Reads header and every line with a confidence score per field, with no line-count ceiling; reads the vendor live from Sage</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AI classification</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Routes to one of five types by a priority rule set; low confidence, or an unknown vendor, holds the document for a person</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Validation</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Confirms net plus taxes plus freight equals gross, checks the four key header fields against the image, and validates coding against live Sage lists</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PO matching</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Two- or three-way per the PO line, receipt-level on the ship date and BOL pair, with tolerance checks and coding pulled from the order</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Approval workflow</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Hierarchy and ad-hoc routing, per-company limits, automatic escalation, delegation and email approval; no self-approval</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Sage integration</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Live reads; purchase invoice and credit memo creation with attachment; document-number write-back; payment feedback; idempotent writes; daily reconciliation</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Payment tracking</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Captures payment number, date and method from Sage and closes the document; draws down prepayment balances</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Search and audit</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Searches header and line fields; every displayed count clicks through to its documents; a complete, append-only audit trail</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Reporting</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Volume, automation rate, cycle time, exceptions, approvals, prepayment positions and chain integrity, all clickable to source and exportable</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Document types</w:t>
      </w:r>
    </w:p>
    <w:p>
      <w:pPr>
        <w:spacing w:after="160" w:line="259"/>
      </w:pPr>
      <w:r>
        <w:rPr>
          <w:rFonts w:ascii="Calibri" w:cs="Calibri" w:eastAsia="Calibri" w:hAnsi="Calibri"/>
          <w:b w:val="false"/>
          <w:bCs w:val="false"/>
          <w:i w:val="false"/>
          <w:iCs w:val="false"/>
          <w:color w:val="262626"/>
          <w:sz w:val="22"/>
          <w:szCs w:val="22"/>
        </w:rPr>
        <w:t xml:space="preserve">The five document types each have their own trigger, their own checks, the point at which they must stop for a person, and a different result in Sage.</w:t>
      </w:r>
    </w:p>
    <w:p>
      <w:pPr>
        <w:keepNext/>
        <w:spacing w:after="60" w:before="180"/>
      </w:pPr>
      <w:r>
        <w:rPr>
          <w:rFonts w:ascii="Calibri" w:cs="Calibri" w:eastAsia="Calibri" w:hAnsi="Calibri"/>
          <w:b/>
          <w:bCs/>
          <w:color w:val="2F5496"/>
          <w:sz w:val="18"/>
          <w:szCs w:val="18"/>
        </w:rPr>
        <w:t xml:space="preserve">Table 5. </w:t>
      </w:r>
      <w:r>
        <w:rPr>
          <w:rFonts w:ascii="Calibri" w:cs="Calibri" w:eastAsia="Calibri" w:hAnsi="Calibri"/>
          <w:i/>
          <w:iCs/>
          <w:color w:val="595959"/>
          <w:sz w:val="18"/>
          <w:szCs w:val="18"/>
        </w:rPr>
        <w:t xml:space="preserve">The five document types at a glance</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2340"/>
        <w:gridCol w:w="2340"/>
        <w:gridCol w:w="2340"/>
        <w:gridCol w:w="2340"/>
      </w:tblGrid>
      <w:tr>
        <w:trPr>
          <w:tblHeader/>
        </w:trPr>
        <w:tc>
          <w:tcPr>
            <w:tcW w:type="dxa" w:w="234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Type</w:t>
            </w:r>
          </w:p>
        </w:tc>
        <w:tc>
          <w:tcPr>
            <w:tcW w:type="dxa" w:w="234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Recognised by</w:t>
            </w:r>
          </w:p>
        </w:tc>
        <w:tc>
          <w:tcPr>
            <w:tcW w:type="dxa" w:w="234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Becomes in Sage</w:t>
            </w:r>
          </w:p>
        </w:tc>
        <w:tc>
          <w:tcPr>
            <w:tcW w:type="dxa" w:w="234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Always stops for</w:t>
            </w:r>
          </w:p>
        </w:tc>
      </w:tr>
      <w:tr>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PO invoice</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valid purchase order on the document</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Purchase invoice (PIN)</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Approval</w:t>
            </w:r>
          </w:p>
        </w:tc>
      </w:tr>
      <w:tr>
        <w:tc>
          <w:tcPr>
            <w:tcW w:type="dxa" w:w="234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Non-PO invoice</w:t>
            </w:r>
          </w:p>
        </w:tc>
        <w:tc>
          <w:tcPr>
            <w:tcW w:type="dxa" w:w="234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No purchase order present</w:t>
            </w:r>
          </w:p>
        </w:tc>
        <w:tc>
          <w:tcPr>
            <w:tcW w:type="dxa" w:w="234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Purchase invoice (PIN)</w:t>
            </w:r>
          </w:p>
        </w:tc>
        <w:tc>
          <w:tcPr>
            <w:tcW w:type="dxa" w:w="234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PO decision, then approval</w:t>
            </w:r>
          </w:p>
        </w:tc>
      </w:tr>
      <w:tr>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Prepayment</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vendor is marked as prepaid</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payment, then invoices drawing it down</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Approval, usually CFO for the lump sum</w:t>
            </w:r>
          </w:p>
        </w:tc>
      </w:tr>
      <w:tr>
        <w:tc>
          <w:tcPr>
            <w:tcW w:type="dxa" w:w="234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Credit</w:t>
            </w:r>
          </w:p>
        </w:tc>
        <w:tc>
          <w:tcPr>
            <w:tcW w:type="dxa" w:w="234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Negative total or cancellation wording</w:t>
            </w:r>
          </w:p>
        </w:tc>
        <w:tc>
          <w:tcPr>
            <w:tcW w:type="dxa" w:w="234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Credit memo (PCM)</w:t>
            </w:r>
          </w:p>
        </w:tc>
        <w:tc>
          <w:tcPr>
            <w:tcW w:type="dxa" w:w="234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original invoice reference, then AP review</w:t>
            </w:r>
          </w:p>
        </w:tc>
      </w:tr>
      <w:tr>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Rebill</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settlement vendor re-invoicing at a settled price</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Purchase invoice linked to the credit</w:t>
            </w:r>
          </w:p>
        </w:tc>
        <w:tc>
          <w:tcPr>
            <w:tcW w:type="dxa" w:w="234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credit-memo reference, approval, AP if the period is closed</w:t>
            </w:r>
          </w:p>
        </w:tc>
      </w:tr>
    </w:tbl>
    <w:p>
      <w:pPr>
        <w:spacing w:after="140"/>
      </w:pP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PO invoices</w:t>
      </w:r>
    </w:p>
    <w:p>
      <w:pPr>
        <w:spacing w:after="160" w:line="259"/>
      </w:pPr>
      <w:r>
        <w:rPr>
          <w:rFonts w:ascii="Calibri" w:cs="Calibri" w:eastAsia="Calibri" w:hAnsi="Calibri"/>
          <w:b w:val="false"/>
          <w:bCs w:val="false"/>
          <w:i w:val="false"/>
          <w:iCs w:val="false"/>
          <w:color w:val="262626"/>
          <w:sz w:val="22"/>
          <w:szCs w:val="22"/>
        </w:rPr>
        <w:t xml:space="preserve">Goods or services ordered properly, where the order already exists in Sage. Match type is read from the PO line (two- or three-way), receipts are matched on the ship date and BOL pair, and matched lines are coded from the order. Awkward cases handled: the invoice arriving before the goods (two-way, marked as such), a monthly summary covering a thousand receipts, a load list past a thousand lines, and a duplicate refused on vendor, number and amount.</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Non-PO invoices</w:t>
      </w:r>
    </w:p>
    <w:p>
      <w:pPr>
        <w:spacing w:after="160" w:line="259"/>
      </w:pPr>
      <w:r>
        <w:rPr>
          <w:rFonts w:ascii="Calibri" w:cs="Calibri" w:eastAsia="Calibri" w:hAnsi="Calibri"/>
          <w:b w:val="false"/>
          <w:bCs w:val="false"/>
          <w:i w:val="false"/>
          <w:iCs w:val="false"/>
          <w:color w:val="262626"/>
          <w:sz w:val="22"/>
          <w:szCs w:val="22"/>
        </w:rPr>
        <w:t xml:space="preserve">An invoice with no purchase order. A person decides: attach an order that now exists, wait in a visible awaiting-order state, or code the lines from a standing template for a supplier that will never have an order (rent, equipment, services). The platform never creates the order; a mistyped or already-used order number is refused with the holder named.</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Prepayments</w:t>
      </w:r>
    </w:p>
    <w:p>
      <w:pPr>
        <w:spacing w:after="160" w:line="259"/>
      </w:pPr>
      <w:r>
        <w:rPr>
          <w:rFonts w:ascii="Calibri" w:cs="Calibri" w:eastAsia="Calibri" w:hAnsi="Calibri"/>
          <w:b w:val="false"/>
          <w:bCs w:val="false"/>
          <w:i w:val="false"/>
          <w:iCs w:val="false"/>
          <w:color w:val="262626"/>
          <w:sz w:val="22"/>
          <w:szCs w:val="22"/>
        </w:rPr>
        <w:t xml:space="preserve">Two vendors are paid before delivery, and their shipments draw that balance down. The lump sum registers a position and is approved, usually at CFO level; shipment true-ups draw it down and recalculate the consumed balance. Size alone never classifies a prepayment, treasury is warned as the balance runs low, and an overage is flagged as an unsecured payable.</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Credits</w:t>
      </w:r>
    </w:p>
    <w:p>
      <w:pPr>
        <w:spacing w:after="160" w:line="259"/>
      </w:pPr>
      <w:r>
        <w:rPr>
          <w:rFonts w:ascii="Calibri" w:cs="Calibri" w:eastAsia="Calibri" w:hAnsi="Calibri"/>
          <w:b w:val="false"/>
          <w:bCs w:val="false"/>
          <w:i w:val="false"/>
          <w:iCs w:val="false"/>
          <w:color w:val="262626"/>
          <w:sz w:val="22"/>
          <w:szCs w:val="22"/>
        </w:rPr>
        <w:t xml:space="preserve">A document that reverses an invoice already booked, arriving with a negative total or cancellation wording. It must reference the original purchase invoice it reverses (Sage builds the credit memo from that invoice's lines), and every credit passes AP review. If a replacement invoice is expected, the credit parks visibly and clears when the rebill arrives.</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Rebills</w:t>
      </w:r>
    </w:p>
    <w:p>
      <w:pPr>
        <w:spacing w:after="160" w:line="259"/>
      </w:pPr>
      <w:r>
        <w:rPr>
          <w:rFonts w:ascii="Calibri" w:cs="Calibri" w:eastAsia="Calibri" w:hAnsi="Calibri"/>
          <w:b w:val="false"/>
          <w:bCs w:val="false"/>
          <w:i w:val="false"/>
          <w:iCs w:val="false"/>
          <w:color w:val="262626"/>
          <w:sz w:val="22"/>
          <w:szCs w:val="22"/>
        </w:rPr>
        <w:t xml:space="preserve">Settlement vendors invoice provisionally, then re-invoice at the settled price. The rebill must name the purchase credit memo it settles, which links original invoice, credit and rebill into one provable chain (the gap the business named directly). A settlement reaching into a closed period routes to AP with that condition stated; a chain that is not yet complete states exactly which link is missing.</w:t>
      </w: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Business rules</w:t>
      </w:r>
    </w:p>
    <w:p>
      <w:pPr>
        <w:spacing w:after="160" w:line="259"/>
      </w:pPr>
      <w:r>
        <w:rPr>
          <w:rFonts w:ascii="Calibri" w:cs="Calibri" w:eastAsia="Calibri" w:hAnsi="Calibri"/>
          <w:b w:val="false"/>
          <w:bCs w:val="false"/>
          <w:i w:val="false"/>
          <w:iCs w:val="false"/>
          <w:color w:val="262626"/>
          <w:sz w:val="22"/>
          <w:szCs w:val="22"/>
        </w:rPr>
        <w:t xml:space="preserve">Rules that govern routing, checks and posting. They are configuration the AP team owns, and every change is audited.</w:t>
      </w:r>
    </w:p>
    <w:p>
      <w:pPr>
        <w:keepNext/>
        <w:spacing w:after="60" w:before="180"/>
      </w:pPr>
      <w:r>
        <w:rPr>
          <w:rFonts w:ascii="Calibri" w:cs="Calibri" w:eastAsia="Calibri" w:hAnsi="Calibri"/>
          <w:b/>
          <w:bCs/>
          <w:color w:val="2F5496"/>
          <w:sz w:val="18"/>
          <w:szCs w:val="18"/>
        </w:rPr>
        <w:t xml:space="preserve">Table 6. </w:t>
      </w:r>
      <w:r>
        <w:rPr>
          <w:rFonts w:ascii="Calibri" w:cs="Calibri" w:eastAsia="Calibri" w:hAnsi="Calibri"/>
          <w:i/>
          <w:iCs/>
          <w:color w:val="595959"/>
          <w:sz w:val="18"/>
          <w:szCs w:val="18"/>
        </w:rPr>
        <w:t xml:space="preserve">Business rules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00"/>
        <w:gridCol w:w="6260"/>
      </w:tblGrid>
      <w:tr>
        <w:trPr>
          <w:tblHeader/>
        </w:trPr>
        <w:tc>
          <w:tcPr>
            <w:tcW w:type="dxa" w:w="3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Ref</w:t>
            </w:r>
          </w:p>
        </w:tc>
        <w:tc>
          <w:tcPr>
            <w:tcW w:type="dxa" w:w="626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Rule</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BR-01</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Every document belongs to one of seven companies, determined from the sold-to name via a client-owned mapping; unknown names are held for a person, never guessed.</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BR-02</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Documents from a marked prepaid vendor route to Prepayments regardless of appearance.</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BR-03</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negative total or cancellation wording routes to Credits ahead of every other rule; a negative document is never posted as an invoice.</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BR-04</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marked settlement vendor re-invoicing at a settled price routes to Rebills.</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BR-05</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valid purchase order routes to PO invoices; everything else defaults to Non-PO.</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BR-06</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Below a configurable confidence threshold, a document waits in Manual Review; an unknown vendor lowers confidence.</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BR-07</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Duplicates are refused on vendor, invoice number and amount together.</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BR-08</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Net plus taxes plus freight must equal gross before a document is submitted.</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BR-09</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two- or three-way match type is read from the Sage purchase-order line; a receipt is identified uniquely by ship date and BOL.</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BR-10</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platform never creates a purchase order; a person attaches one or codes from a template.</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BR-11</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credit memo must reference the original purchase invoice it reverses; a rebill must name the credit memo it settles.</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BR-12</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Every document is approved; an auto-matched document still needs approval unless AP exempts it, and nobody approves their own submission.</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BR-13</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 final review fires on rules: amount, closed period, every credit, a new vendor, a released variance, or a named vendor.</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BR-14</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Writes to Sage are idempotent on the platform document number; nothing is deleted, and cancellation is a state with a reason.</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Non-functional requirements</w:t>
      </w:r>
    </w:p>
    <w:p>
      <w:pPr>
        <w:keepNext/>
        <w:spacing w:after="60" w:before="180"/>
      </w:pPr>
      <w:r>
        <w:rPr>
          <w:rFonts w:ascii="Calibri" w:cs="Calibri" w:eastAsia="Calibri" w:hAnsi="Calibri"/>
          <w:b/>
          <w:bCs/>
          <w:color w:val="2F5496"/>
          <w:sz w:val="18"/>
          <w:szCs w:val="18"/>
        </w:rPr>
        <w:t xml:space="preserve">Table 7. </w:t>
      </w:r>
      <w:r>
        <w:rPr>
          <w:rFonts w:ascii="Calibri" w:cs="Calibri" w:eastAsia="Calibri" w:hAnsi="Calibri"/>
          <w:i/>
          <w:iCs/>
          <w:color w:val="595959"/>
          <w:sz w:val="18"/>
          <w:szCs w:val="18"/>
        </w:rPr>
        <w:t xml:space="preserve">Non-functional requirements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1100"/>
        <w:gridCol w:w="4130"/>
        <w:gridCol w:w="4130"/>
      </w:tblGrid>
      <w:tr>
        <w:trPr>
          <w:tblHeader/>
        </w:trPr>
        <w:tc>
          <w:tcPr>
            <w:tcW w:type="dxa" w:w="1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Ref</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Requirement</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Target</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NFR-1</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Interactive response</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Under 1.5 s at the 95th percentile at production volumes</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NFR-2</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Large document handling</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1,000-line document opens, matches and submits whole; no line ceiling</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NFR-3</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Throughput</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Sustained 3,500 documents a month, with true-up peaks, without queue degradation</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NFR-4</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Extraction turnaround</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Median under 2 minutes from arrival to extracted and classified</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NFR-5</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Authentication</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Single sign-on with MFA enforced by policy; no local passwords</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NFR-6</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Write integrity</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Idempotent Sage writes; a failed write surfaces as a visible state, never a silent loss</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NFR-7</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Authorisation</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Role and company scoped; a user sees only the companies they are entitled to</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NFR-8</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Data protection</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Encrypted in transit and at rest; secrets in a managed vault; no financial data in logs</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NFR-9</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Retention</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Documents and audit retained 7 years by default, configurable per company</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NFR-10</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Accessibility</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WCAG 2.1 AA, verified by automated audit</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NFR-11</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Browser support</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Current Edge, Chrome, Firefox and Safari; usable on tablet for approvals</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Acceptance criteria</w:t>
      </w:r>
    </w:p>
    <w:p>
      <w:pPr>
        <w:spacing w:after="160" w:line="259"/>
      </w:pPr>
      <w:r>
        <w:rPr>
          <w:rFonts w:ascii="Calibri" w:cs="Calibri" w:eastAsia="Calibri" w:hAnsi="Calibri"/>
          <w:b w:val="false"/>
          <w:bCs w:val="false"/>
          <w:i w:val="false"/>
          <w:iCs w:val="false"/>
          <w:color w:val="262626"/>
          <w:sz w:val="22"/>
          <w:szCs w:val="22"/>
        </w:rPr>
        <w:t xml:space="preserve">The platform is accepted when each area behaves as below on production-representative data.</w:t>
      </w:r>
    </w:p>
    <w:p>
      <w:pPr>
        <w:keepNext/>
        <w:spacing w:after="60" w:before="180"/>
      </w:pPr>
      <w:r>
        <w:rPr>
          <w:rFonts w:ascii="Calibri" w:cs="Calibri" w:eastAsia="Calibri" w:hAnsi="Calibri"/>
          <w:b/>
          <w:bCs/>
          <w:color w:val="2F5496"/>
          <w:sz w:val="18"/>
          <w:szCs w:val="18"/>
        </w:rPr>
        <w:t xml:space="preserve">Table 8. </w:t>
      </w:r>
      <w:r>
        <w:rPr>
          <w:rFonts w:ascii="Calibri" w:cs="Calibri" w:eastAsia="Calibri" w:hAnsi="Calibri"/>
          <w:i/>
          <w:iCs/>
          <w:color w:val="595959"/>
          <w:sz w:val="18"/>
          <w:szCs w:val="18"/>
        </w:rPr>
        <w:t xml:space="preserve">Acceptance criteria</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00"/>
        <w:gridCol w:w="6260"/>
      </w:tblGrid>
      <w:tr>
        <w:trPr>
          <w:tblHeader/>
        </w:trPr>
        <w:tc>
          <w:tcPr>
            <w:tcW w:type="dxa" w:w="3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Area</w:t>
            </w:r>
          </w:p>
        </w:tc>
        <w:tc>
          <w:tcPr>
            <w:tcW w:type="dxa" w:w="626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Accepted when</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Intake</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batch scan splits into separate, traceable documents, and a duplicate is refused naming the document that already holds the number.</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Extraction</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1,000-line document is read whole, and fields below the confidence threshold are flagged rather than accepted silently.</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Classification</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Sample documents route to the correct queue, and a below-threshold document waits in Manual Review with the reason stated.</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Validation</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An out-of-balance document cannot be submitted, and a coding value not present in Sage is refused.</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PO matching</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three-way invoice with receipts present matches and codes with no human edit, and a price variance appears as an exception.</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Approval</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An over-limit amount escalates automatically, self-approval is blocked, and an email approval is recorded on the document.</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Sage integration</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purchase invoice and a credit memo are created with the image and number written back within seconds, and reconciliation flags any divergence.</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Credit and rebill</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credit cannot post without its original invoice reference, and a rebill chain shows all three Sage numbers or names the missing link.</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Search and reporting</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Every displayed count clicks through to the exact documents, and every view exports to spreadsheet.</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Open decisions</w:t>
      </w:r>
    </w:p>
    <w:p>
      <w:pPr>
        <w:spacing w:after="160" w:line="259"/>
      </w:pPr>
      <w:r>
        <w:rPr>
          <w:rFonts w:ascii="Calibri" w:cs="Calibri" w:eastAsia="Calibri" w:hAnsi="Calibri"/>
          <w:b w:val="false"/>
          <w:bCs w:val="false"/>
          <w:i w:val="false"/>
          <w:iCs w:val="false"/>
          <w:color w:val="262626"/>
          <w:sz w:val="22"/>
          <w:szCs w:val="22"/>
        </w:rPr>
        <w:t xml:space="preserve">Questions whose answers change the build. Each needs an owner and a date before the corresponding work starts.</w:t>
      </w:r>
    </w:p>
    <w:p>
      <w:pPr>
        <w:keepNext/>
        <w:spacing w:after="60" w:before="180"/>
      </w:pPr>
      <w:r>
        <w:rPr>
          <w:rFonts w:ascii="Calibri" w:cs="Calibri" w:eastAsia="Calibri" w:hAnsi="Calibri"/>
          <w:b/>
          <w:bCs/>
          <w:color w:val="2F5496"/>
          <w:sz w:val="18"/>
          <w:szCs w:val="18"/>
        </w:rPr>
        <w:t xml:space="preserve">Table 9. </w:t>
      </w:r>
      <w:r>
        <w:rPr>
          <w:rFonts w:ascii="Calibri" w:cs="Calibri" w:eastAsia="Calibri" w:hAnsi="Calibri"/>
          <w:i/>
          <w:iCs/>
          <w:color w:val="595959"/>
          <w:sz w:val="18"/>
          <w:szCs w:val="18"/>
        </w:rPr>
        <w:t xml:space="preserve">Open decisions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1100"/>
        <w:gridCol w:w="4130"/>
        <w:gridCol w:w="4130"/>
      </w:tblGrid>
      <w:tr>
        <w:trPr>
          <w:tblHeader/>
        </w:trPr>
        <w:tc>
          <w:tcPr>
            <w:tcW w:type="dxa" w:w="1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Ref</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Decision</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Owner</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D-01</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Confirm the Sage X3 API surface and field-level contract (our layouts are inferred from the export samples)</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Net at Work with Alferix</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D-02</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Is AP final review universal, or rule-driven as built?</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Symantha Schaeffer</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D-03</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Sales-channel code mapping (Sage codes are numeric; our labels are descriptive)</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Symantha Schaeffer</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D-04</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Purchase-order numbering: is the sequence global or per company?</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Net at Work</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D-05</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Approval hierarchy and per-company limits, as data</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 team</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D-06</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template library: which suppliers, which coding</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 team</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D-07</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Sold-to name to company code mapping, including trading names</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Symantha Schaeffer</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D-08</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Data residency for Canadian and UK entity data</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H.J. Baker IT</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D-09</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Email approval: keep it, and for whom?</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Symantha Schaeffer</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D-10</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Tolerance thresholds for quantity and price variance</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 team</w:t>
            </w:r>
          </w:p>
        </w:tc>
      </w:tr>
    </w:tbl>
    <w:p>
      <w:pPr>
        <w:spacing w:after="140"/>
      </w:pPr>
    </w:p>
    <w:p>
      <w:pPr>
        <w:spacing w:after="160" w:line="259"/>
      </w:pPr>
      <w:r>
        <w:rPr>
          <w:rFonts w:ascii="Calibri" w:cs="Calibri" w:eastAsia="Calibri" w:hAnsi="Calibri"/>
          <w:b w:val="false"/>
          <w:bCs w:val="false"/>
          <w:i w:val="false"/>
          <w:iCs w:val="false"/>
          <w:color w:val="262626"/>
          <w:sz w:val="22"/>
          <w:szCs w:val="22"/>
        </w:rPr>
        <w:t xml:space="preserve">Purchase-order creation is retired from scope: it is not automatable, so the platform asks for the order number and shows the vendor's last order for reference.</w:t>
      </w: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Glossary</w:t>
      </w:r>
    </w:p>
    <w:p>
      <w:pPr>
        <w:keepNext/>
        <w:spacing w:after="60" w:before="180"/>
      </w:pPr>
      <w:r>
        <w:rPr>
          <w:rFonts w:ascii="Calibri" w:cs="Calibri" w:eastAsia="Calibri" w:hAnsi="Calibri"/>
          <w:b/>
          <w:bCs/>
          <w:color w:val="2F5496"/>
          <w:sz w:val="18"/>
          <w:szCs w:val="18"/>
        </w:rPr>
        <w:t xml:space="preserve">Table 10. </w:t>
      </w:r>
      <w:r>
        <w:rPr>
          <w:rFonts w:ascii="Calibri" w:cs="Calibri" w:eastAsia="Calibri" w:hAnsi="Calibri"/>
          <w:i/>
          <w:iCs/>
          <w:color w:val="595959"/>
          <w:sz w:val="18"/>
          <w:szCs w:val="18"/>
        </w:rPr>
        <w:t xml:space="preserve">Terms as used in this document</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00"/>
        <w:gridCol w:w="6260"/>
      </w:tblGrid>
      <w:tr>
        <w:trPr>
          <w:tblHeader/>
        </w:trPr>
        <w:tc>
          <w:tcPr>
            <w:tcW w:type="dxa" w:w="3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Term</w:t>
            </w:r>
          </w:p>
        </w:tc>
        <w:tc>
          <w:tcPr>
            <w:tcW w:type="dxa" w:w="626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Meaning</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Blue Creek</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incumbent tool (Vision360) this platform replaces</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BOL</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Bill of lading; with the ship date, it uniquely identifies a receipt</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Netback / settlement vendor</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vendor who invoices provisionally then settles at a final price, producing a credit and a rebill</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PIN / PCM</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Sage purchase invoice / purchase credit memo</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Prepayment true-up</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shipment invoice that draws down a prepayment</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Rebill</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re-invoice at the settled price, following a credit</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Straight-through</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document that reaches approval with no human edit</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Two- / three-way match</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Invoice against order, or invoice against order and receipt</w:t>
            </w:r>
          </w:p>
        </w:tc>
      </w:tr>
    </w:tbl>
    <w:p>
      <w:pPr>
        <w:spacing w:after="140"/>
      </w:pPr>
    </w:p>
    <w:sectPr>
      <w:headerReference w:type="default" r:id="rId7"/>
      <w:headerReference w:type="first" r:id="rId8"/>
      <w:footerReference w:type="default" r:id="rId9"/>
      <w:footerReference w:type="first" r:id="rId10"/>
      <w:pgSz w:w="12240" w:h="15840" w:orient="portrait"/>
      <w:pgMar w:top="1440"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360"/>
      </w:tabs>
    </w:pPr>
    <w:r>
      <w:rPr>
        <w:rFonts w:ascii="Calibri" w:cs="Calibri" w:eastAsia="Calibri" w:hAnsi="Calibri"/>
        <w:color w:val="808080"/>
        <w:sz w:val="15"/>
        <w:szCs w:val="15"/>
      </w:rPr>
      <w:t xml:space="preserve">H.J. Baker &amp; Bro., LLC</w:t>
    </w:r>
    <w:r>
      <w:rPr>
        <w:rFonts w:ascii="Calibri" w:cs="Calibri" w:eastAsia="Calibri" w:hAnsi="Calibri"/>
        <w:color w:val="808080"/>
        <w:sz w:val="15"/>
        <w:szCs w:val="15"/>
      </w:rPr>
      <w:t xml:space="preserve">	Page </w:t>
    </w:r>
    <w:r>
      <w:rPr>
        <w:rFonts w:ascii="Calibri" w:cs="Calibri" w:eastAsia="Calibri" w:hAnsi="Calibri"/>
        <w:b/>
        <w:bCs/>
        <w:color w:val="2F5496"/>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pPr>
    <w:r>
      <w:rPr>
        <w:rFonts w:ascii="Calibri" w:cs="Calibri" w:eastAsia="Calibri" w:hAnsi="Calibri"/>
        <w:color w:val="808080"/>
        <w:sz w:val="16"/>
        <w:szCs w:val="16"/>
      </w:rPr>
      <w:t xml:space="preserve">AP Invoice Processing Platform</w:t>
    </w:r>
    <w:r>
      <w:rPr>
        <w:rFonts w:ascii="Calibri" w:cs="Calibri" w:eastAsia="Calibri" w:hAnsi="Calibri"/>
        <w:color w:val="808080"/>
        <w:sz w:val="16"/>
        <w:szCs w:val="16"/>
      </w:rPr>
      <w:t xml:space="preserve">	Product requirements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rPr>
        <w:rFonts w:ascii="Calibri Light" w:cs="Calibri Light" w:eastAsia="Calibri Light" w:hAnsi="Calibri Light"/>
        <w:b/>
        <w:bCs/>
        <w:color w:val="4472C4"/>
      </w:rPr>
    </w:lvl>
    <w:lvl w:ilvl="1" w15:tentative="1">
      <w:start w:val="1"/>
      <w:numFmt w:val="decimal"/>
      <w:lvlText w:val="%1.%2"/>
      <w:lvlJc w:val="left"/>
      <w:pPr>
        <w:ind w:left="620" w:hanging="620"/>
      </w:pPr>
      <w:rPr>
        <w:rFonts w:ascii="Calibri Light" w:cs="Calibri Light" w:eastAsia="Calibri Light" w:hAnsi="Calibri Light"/>
        <w:b/>
        <w:bCs/>
        <w:color w:val="4472C4"/>
      </w:rPr>
    </w:lvl>
  </w:abstractNum>
  <w:abstractNum w:abstractNumId="3" w15:restartNumberingAfterBreak="0">
    <w:multiLevelType w:val="hybridMultilevel"/>
    <w:lvl w:ilvl="0" w15:tentative="1">
      <w:start w:val="1"/>
      <w:numFmt w:val="bullet"/>
      <w:lvlText w:val="•"/>
      <w:lvlJc w:val="left"/>
      <w:pPr>
        <w:ind w:left="360" w:hanging="220"/>
      </w:pPr>
      <w:rPr>
        <w:color w:val="4472C4"/>
      </w:rPr>
    </w:lvl>
  </w:abstractNum>
  <w:abstractNum w:abstractNumId="4" w15:restartNumberingAfterBreak="0">
    <w:multiLevelType w:val="hybridMultilevel"/>
    <w:lvl w:ilvl="0" w15:tentative="1">
      <w:start w:val="1"/>
      <w:numFmt w:val="decimal"/>
      <w:lvlText w:val="%1."/>
      <w:lvlJc w:val="left"/>
      <w:pPr>
        <w:ind w:left="400" w:hanging="260"/>
      </w:pPr>
      <w:rPr>
        <w:b/>
        <w:bCs/>
        <w:color w:val="2F549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pPr>
        <w:spacing w:after="16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3864"/>
      <w:sz w:val="30"/>
      <w:szCs w:val="30"/>
    </w:rPr>
  </w:style>
  <w:style w:type="paragraph" w:styleId="Heading2">
    <w:name w:val="Heading 2"/>
    <w:basedOn w:val="Normal"/>
    <w:next w:val="Normal"/>
    <w:qFormat/>
    <w:rPr>
      <w:rFonts w:ascii="Calibri Light" w:cs="Calibri Light" w:eastAsia="Calibri Light" w:hAnsi="Calibri Light"/>
      <w:b/>
      <w:bCs/>
      <w:color w:val="2F5496"/>
      <w:sz w:val="24"/>
      <w:szCs w:val="24"/>
    </w:rPr>
  </w:style>
  <w:style w:type="paragraph" w:styleId="Heading3">
    <w:name w:val="Heading 3"/>
    <w:basedOn w:val="Normal"/>
    <w:next w:val="Normal"/>
    <w:qFormat/>
    <w:rPr>
      <w:rFonts w:ascii="Calibri Light" w:cs="Calibri Light" w:eastAsia="Calibri Light" w:hAnsi="Calibri Light"/>
      <w:b/>
      <w:bCs/>
      <w:color w:val="2F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Invoice Processing Platform</dc:title>
  <dc:creator>Alferix</dc:creator>
  <dc:description>The product specification in one compact document: what the platform does, how each document type is handled, the rules it enforces, and how it is accepted.</dc:description>
  <cp:lastModifiedBy>Un-named</cp:lastModifiedBy>
  <cp:revision>1</cp:revision>
  <dcterms:created xsi:type="dcterms:W3CDTF">2026-08-03T16:24:43.352Z</dcterms:created>
  <dcterms:modified xsi:type="dcterms:W3CDTF">2026-08-03T16:24:43.353Z</dcterms:modified>
</cp:coreProperties>
</file>

<file path=docProps/custom.xml><?xml version="1.0" encoding="utf-8"?>
<Properties xmlns="http://schemas.openxmlformats.org/officeDocument/2006/custom-properties" xmlns:vt="http://schemas.openxmlformats.org/officeDocument/2006/docPropsVTypes"/>
</file>