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811B7" w:rsidRPr="000A2A12" w14:paraId="4F77DC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3D24"/>
            <w:tcMar>
              <w:top w:w="300" w:type="dxa"/>
              <w:left w:w="400" w:type="dxa"/>
              <w:bottom w:w="260" w:type="dxa"/>
              <w:right w:w="400" w:type="dxa"/>
            </w:tcMar>
          </w:tcPr>
          <w:p w14:paraId="3A66754B" w14:textId="6A28C4AC" w:rsidR="002811B7" w:rsidRPr="000A2A12" w:rsidRDefault="00000000">
            <w:pPr>
              <w:spacing w:after="8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FFFFFF"/>
                <w:sz w:val="44"/>
                <w:szCs w:val="44"/>
              </w:rPr>
              <w:t xml:space="preserve">Retail </w:t>
            </w:r>
            <w:r w:rsidR="00C94ABC" w:rsidRPr="000A2A12">
              <w:rPr>
                <w:rFonts w:asciiTheme="minorHAnsi" w:hAnsiTheme="minorHAnsi" w:cstheme="minorHAnsi"/>
                <w:b/>
                <w:bCs/>
                <w:color w:val="FFFFFF"/>
                <w:sz w:val="44"/>
                <w:szCs w:val="44"/>
              </w:rPr>
              <w:t>Banking,</w:t>
            </w:r>
            <w:r w:rsidRPr="000A2A12">
              <w:rPr>
                <w:rFonts w:asciiTheme="minorHAnsi" w:hAnsiTheme="minorHAnsi" w:cstheme="minorHAnsi"/>
                <w:b/>
                <w:bCs/>
                <w:color w:val="FFFFFF"/>
                <w:sz w:val="44"/>
                <w:szCs w:val="44"/>
              </w:rPr>
              <w:t xml:space="preserve"> Lead Intelligence</w:t>
            </w:r>
          </w:p>
          <w:p w14:paraId="07AE9431" w14:textId="6E3651AE" w:rsidR="002811B7" w:rsidRPr="000A2A12" w:rsidRDefault="00000000">
            <w:pPr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i/>
                <w:iCs/>
                <w:color w:val="A8D5B8"/>
              </w:rPr>
              <w:t xml:space="preserve">Executive </w:t>
            </w:r>
            <w:r w:rsidR="00C94ABC" w:rsidRPr="000A2A12">
              <w:rPr>
                <w:rFonts w:asciiTheme="minorHAnsi" w:hAnsiTheme="minorHAnsi" w:cstheme="minorHAnsi"/>
                <w:i/>
                <w:iCs/>
                <w:color w:val="A8D5B8"/>
              </w:rPr>
              <w:t>Overview</w:t>
            </w:r>
          </w:p>
        </w:tc>
      </w:tr>
    </w:tbl>
    <w:p w14:paraId="444EB1D5" w14:textId="77777777" w:rsidR="002811B7" w:rsidRPr="000A2A12" w:rsidRDefault="002811B7">
      <w:pPr>
        <w:spacing w:after="200"/>
        <w:rPr>
          <w:rFonts w:asciiTheme="minorHAnsi" w:hAnsiTheme="minorHAnsi" w:cstheme="minorHAnsi"/>
        </w:rPr>
      </w:pPr>
    </w:p>
    <w:p w14:paraId="1A09197D" w14:textId="77777777" w:rsidR="002811B7" w:rsidRPr="000A2A12" w:rsidRDefault="00000000">
      <w:pPr>
        <w:pBdr>
          <w:bottom w:val="single" w:sz="6" w:space="1" w:color="1A5C38"/>
        </w:pBdr>
        <w:spacing w:before="220" w:after="100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>THE BUSINESS PROBLEM</w:t>
      </w:r>
    </w:p>
    <w:p w14:paraId="71DD523C" w14:textId="54CF384B" w:rsidR="002811B7" w:rsidRPr="000A2A12" w:rsidRDefault="00000000" w:rsidP="00C94ABC">
      <w:pPr>
        <w:spacing w:after="80"/>
        <w:jc w:val="both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color w:val="2C2C2A"/>
        </w:rPr>
        <w:t xml:space="preserve">Retail banks maintain relationships with tens of thousands of </w:t>
      </w:r>
      <w:r w:rsidR="00C94ABC" w:rsidRPr="000A2A12">
        <w:rPr>
          <w:rFonts w:asciiTheme="minorHAnsi" w:hAnsiTheme="minorHAnsi" w:cstheme="minorHAnsi"/>
          <w:color w:val="2C2C2A"/>
        </w:rPr>
        <w:t>customers,</w:t>
      </w:r>
      <w:r w:rsidRPr="000A2A12">
        <w:rPr>
          <w:rFonts w:asciiTheme="minorHAnsi" w:hAnsiTheme="minorHAnsi" w:cstheme="minorHAnsi"/>
          <w:color w:val="2C2C2A"/>
        </w:rPr>
        <w:t xml:space="preserve"> yet only a small fraction </w:t>
      </w:r>
      <w:r w:rsidR="00C94ABC" w:rsidRPr="000A2A12">
        <w:rPr>
          <w:rFonts w:asciiTheme="minorHAnsi" w:hAnsiTheme="minorHAnsi" w:cstheme="minorHAnsi"/>
          <w:color w:val="2C2C2A"/>
        </w:rPr>
        <w:t>is</w:t>
      </w:r>
      <w:r w:rsidRPr="000A2A12">
        <w:rPr>
          <w:rFonts w:asciiTheme="minorHAnsi" w:hAnsiTheme="minorHAnsi" w:cstheme="minorHAnsi"/>
          <w:color w:val="2C2C2A"/>
        </w:rPr>
        <w:t xml:space="preserve"> ready to engage with a new product at any given moment. Without a systematic way to identify </w:t>
      </w:r>
      <w:r w:rsidRPr="000A2A12">
        <w:rPr>
          <w:rFonts w:asciiTheme="minorHAnsi" w:hAnsiTheme="minorHAnsi" w:cstheme="minorHAnsi"/>
          <w:b/>
          <w:bCs/>
          <w:color w:val="2C2C2A"/>
        </w:rPr>
        <w:t>who</w:t>
      </w:r>
      <w:r w:rsidRPr="000A2A12">
        <w:rPr>
          <w:rFonts w:asciiTheme="minorHAnsi" w:hAnsiTheme="minorHAnsi" w:cstheme="minorHAnsi"/>
          <w:color w:val="2C2C2A"/>
        </w:rPr>
        <w:t xml:space="preserve"> to contact, </w:t>
      </w:r>
      <w:r w:rsidRPr="000A2A12">
        <w:rPr>
          <w:rFonts w:asciiTheme="minorHAnsi" w:hAnsiTheme="minorHAnsi" w:cstheme="minorHAnsi"/>
          <w:b/>
          <w:bCs/>
          <w:color w:val="2C2C2A"/>
        </w:rPr>
        <w:t>what</w:t>
      </w:r>
      <w:r w:rsidRPr="000A2A12">
        <w:rPr>
          <w:rFonts w:asciiTheme="minorHAnsi" w:hAnsiTheme="minorHAnsi" w:cstheme="minorHAnsi"/>
          <w:color w:val="2C2C2A"/>
        </w:rPr>
        <w:t xml:space="preserve"> to offer, and </w:t>
      </w:r>
      <w:r w:rsidRPr="000A2A12">
        <w:rPr>
          <w:rFonts w:asciiTheme="minorHAnsi" w:hAnsiTheme="minorHAnsi" w:cstheme="minorHAnsi"/>
          <w:b/>
          <w:bCs/>
          <w:color w:val="2C2C2A"/>
        </w:rPr>
        <w:t>when</w:t>
      </w:r>
      <w:r w:rsidRPr="000A2A12">
        <w:rPr>
          <w:rFonts w:asciiTheme="minorHAnsi" w:hAnsiTheme="minorHAnsi" w:cstheme="minorHAnsi"/>
          <w:color w:val="2C2C2A"/>
        </w:rPr>
        <w:t xml:space="preserve"> to act, sales teams face a fundamental inefficiency: high call volume, low conversion, and significant cost-per-acquisition.</w:t>
      </w:r>
    </w:p>
    <w:tbl>
      <w:tblPr>
        <w:tblW w:w="10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38"/>
      </w:tblGrid>
      <w:tr w:rsidR="002811B7" w:rsidRPr="000A2A12" w14:paraId="3DBE8896" w14:textId="77777777" w:rsidTr="000A2A12">
        <w:tblPrEx>
          <w:tblCellMar>
            <w:top w:w="0" w:type="dxa"/>
            <w:bottom w:w="0" w:type="dxa"/>
          </w:tblCellMar>
        </w:tblPrEx>
        <w:trPr>
          <w:trHeight w:val="773"/>
        </w:trPr>
        <w:tc>
          <w:tcPr>
            <w:tcW w:w="10138" w:type="dxa"/>
            <w:tcBorders>
              <w:top w:val="none" w:sz="0" w:space="0" w:color="FFFFFF"/>
              <w:left w:val="single" w:sz="18" w:space="0" w:color="1A5C38"/>
              <w:bottom w:val="none" w:sz="0" w:space="0" w:color="FFFFFF"/>
              <w:right w:val="none" w:sz="0" w:space="0" w:color="FFFFFF"/>
            </w:tcBorders>
            <w:shd w:val="clear" w:color="auto" w:fill="E8F4ED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9F52CA5" w14:textId="2F088A9B" w:rsidR="002811B7" w:rsidRPr="000A2A12" w:rsidRDefault="00000000" w:rsidP="000A2A12">
            <w:pPr>
              <w:spacing w:before="20" w:after="40"/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 xml:space="preserve">Without a lead scoring model, a banker calling 100 random customers expects approximately 11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>conversions,</w:t>
            </w:r>
            <w:r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 xml:space="preserve"> an 11% hit rate.</w:t>
            </w:r>
            <w:r w:rsidR="000A2A12"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 xml:space="preserve"> </w:t>
            </w:r>
            <w:r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 xml:space="preserve">With this intelligence engine,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>those</w:t>
            </w:r>
            <w:r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 xml:space="preserve"> same 100 calls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>target</w:t>
            </w:r>
            <w:r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 xml:space="preserve"> the highest-propensity customers, yielding up to 72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>conversions,</w:t>
            </w:r>
            <w:r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 xml:space="preserve"> a 6.4x improvement.</w:t>
            </w:r>
            <w:r w:rsidR="000A2A12"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 xml:space="preserve"> </w:t>
            </w:r>
            <w:r w:rsidRPr="000A2A12">
              <w:rPr>
                <w:rFonts w:asciiTheme="minorHAnsi" w:hAnsiTheme="minorHAnsi" w:cstheme="minorHAnsi"/>
                <w:color w:val="2C2C2A"/>
                <w:sz w:val="19"/>
                <w:szCs w:val="19"/>
              </w:rPr>
              <w:t>This is the difference between a scattershot campaign and a precision commercial strategy.</w:t>
            </w:r>
          </w:p>
        </w:tc>
      </w:tr>
    </w:tbl>
    <w:p w14:paraId="518AC9BE" w14:textId="77777777" w:rsidR="002811B7" w:rsidRPr="000A2A12" w:rsidRDefault="002811B7" w:rsidP="00C94ABC">
      <w:pPr>
        <w:spacing w:after="160"/>
        <w:jc w:val="both"/>
        <w:rPr>
          <w:rFonts w:asciiTheme="minorHAnsi" w:hAnsiTheme="minorHAnsi" w:cstheme="minorHAnsi"/>
        </w:rPr>
      </w:pPr>
    </w:p>
    <w:p w14:paraId="546A6367" w14:textId="77777777" w:rsidR="002811B7" w:rsidRPr="000A2A12" w:rsidRDefault="00000000" w:rsidP="00C94ABC">
      <w:pPr>
        <w:pBdr>
          <w:bottom w:val="single" w:sz="6" w:space="1" w:color="1A5C38"/>
        </w:pBdr>
        <w:spacing w:before="220" w:after="100"/>
        <w:jc w:val="both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>WHAT THIS SOLUTION DOES</w:t>
      </w:r>
    </w:p>
    <w:p w14:paraId="5570658E" w14:textId="3727EF44" w:rsidR="002811B7" w:rsidRPr="000A2A12" w:rsidRDefault="00000000" w:rsidP="00C94ABC">
      <w:pPr>
        <w:spacing w:after="100"/>
        <w:jc w:val="both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color w:val="2C2C2A"/>
        </w:rPr>
        <w:t xml:space="preserve">The Retail Banking Lead Intelligence platform is an end-to-end decision analytics engine that ingests historical customer data, applies machine learning to predict product conversion likelihood, and surfaces a ranked, actionable weekly calling </w:t>
      </w:r>
      <w:r w:rsidR="00C94ABC" w:rsidRPr="000A2A12">
        <w:rPr>
          <w:rFonts w:asciiTheme="minorHAnsi" w:hAnsiTheme="minorHAnsi" w:cstheme="minorHAnsi"/>
          <w:color w:val="2C2C2A"/>
        </w:rPr>
        <w:t>list,</w:t>
      </w:r>
      <w:r w:rsidRPr="000A2A12">
        <w:rPr>
          <w:rFonts w:asciiTheme="minorHAnsi" w:hAnsiTheme="minorHAnsi" w:cstheme="minorHAnsi"/>
          <w:color w:val="2C2C2A"/>
        </w:rPr>
        <w:t xml:space="preserve"> ready for frontline banker consumption. The platform operates across three core functions:</w:t>
      </w:r>
    </w:p>
    <w:p w14:paraId="53F4DA24" w14:textId="7773DE8E" w:rsidR="002811B7" w:rsidRPr="000A2A12" w:rsidRDefault="00000000" w:rsidP="00C94ABC">
      <w:pPr>
        <w:pStyle w:val="ListParagraph"/>
        <w:numPr>
          <w:ilvl w:val="0"/>
          <w:numId w:val="2"/>
        </w:numPr>
        <w:spacing w:before="40" w:after="40"/>
        <w:jc w:val="both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2C2C2A"/>
        </w:rPr>
        <w:t xml:space="preserve">Propensity </w:t>
      </w:r>
      <w:r w:rsidR="00C94ABC" w:rsidRPr="000A2A12">
        <w:rPr>
          <w:rFonts w:asciiTheme="minorHAnsi" w:hAnsiTheme="minorHAnsi" w:cstheme="minorHAnsi"/>
          <w:b/>
          <w:bCs/>
          <w:color w:val="2C2C2A"/>
        </w:rPr>
        <w:t>Scoring</w:t>
      </w:r>
      <w:r w:rsidR="00C94ABC" w:rsidRPr="000A2A12">
        <w:rPr>
          <w:rFonts w:asciiTheme="minorHAnsi" w:hAnsiTheme="minorHAnsi" w:cstheme="minorHAnsi"/>
          <w:color w:val="2C2C2A"/>
        </w:rPr>
        <w:t>,</w:t>
      </w:r>
      <w:r w:rsidRPr="000A2A12">
        <w:rPr>
          <w:rFonts w:asciiTheme="minorHAnsi" w:hAnsiTheme="minorHAnsi" w:cstheme="minorHAnsi"/>
          <w:color w:val="2C2C2A"/>
        </w:rPr>
        <w:t xml:space="preserve"> </w:t>
      </w:r>
      <w:r w:rsidR="00C94ABC" w:rsidRPr="000A2A12">
        <w:rPr>
          <w:rFonts w:asciiTheme="minorHAnsi" w:hAnsiTheme="minorHAnsi" w:cstheme="minorHAnsi"/>
          <w:color w:val="2C2C2A"/>
        </w:rPr>
        <w:t>every</w:t>
      </w:r>
      <w:r w:rsidRPr="000A2A12">
        <w:rPr>
          <w:rFonts w:asciiTheme="minorHAnsi" w:hAnsiTheme="minorHAnsi" w:cstheme="minorHAnsi"/>
          <w:color w:val="2C2C2A"/>
        </w:rPr>
        <w:t xml:space="preserve"> customer receives a calibrated 0–1 probability score representing their likelihood to subscribe to a banking product in the current campaign window.</w:t>
      </w:r>
    </w:p>
    <w:p w14:paraId="736183F2" w14:textId="42E32E07" w:rsidR="002811B7" w:rsidRPr="000A2A12" w:rsidRDefault="00000000" w:rsidP="00C94ABC">
      <w:pPr>
        <w:pStyle w:val="ListParagraph"/>
        <w:numPr>
          <w:ilvl w:val="0"/>
          <w:numId w:val="2"/>
        </w:numPr>
        <w:spacing w:before="40" w:after="40"/>
        <w:jc w:val="both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2C2C2A"/>
        </w:rPr>
        <w:t xml:space="preserve">Lead </w:t>
      </w:r>
      <w:r w:rsidR="00C94ABC" w:rsidRPr="000A2A12">
        <w:rPr>
          <w:rFonts w:asciiTheme="minorHAnsi" w:hAnsiTheme="minorHAnsi" w:cstheme="minorHAnsi"/>
          <w:b/>
          <w:bCs/>
          <w:color w:val="2C2C2A"/>
        </w:rPr>
        <w:t>Tiering</w:t>
      </w:r>
      <w:r w:rsidR="00C94ABC" w:rsidRPr="000A2A12">
        <w:rPr>
          <w:rFonts w:asciiTheme="minorHAnsi" w:hAnsiTheme="minorHAnsi" w:cstheme="minorHAnsi"/>
          <w:color w:val="2C2C2A"/>
        </w:rPr>
        <w:t>,</w:t>
      </w:r>
      <w:r w:rsidRPr="000A2A12">
        <w:rPr>
          <w:rFonts w:asciiTheme="minorHAnsi" w:hAnsiTheme="minorHAnsi" w:cstheme="minorHAnsi"/>
          <w:color w:val="2C2C2A"/>
        </w:rPr>
        <w:t xml:space="preserve"> Customers are segmented into Tier A (High), Tier B (Medium), and Tier C (Low) priority cohorts, enabling bankers to </w:t>
      </w:r>
      <w:r w:rsidR="00C94ABC" w:rsidRPr="000A2A12">
        <w:rPr>
          <w:rFonts w:asciiTheme="minorHAnsi" w:hAnsiTheme="minorHAnsi" w:cstheme="minorHAnsi"/>
          <w:color w:val="2C2C2A"/>
        </w:rPr>
        <w:t>concentrate on</w:t>
      </w:r>
      <w:r w:rsidRPr="000A2A12">
        <w:rPr>
          <w:rFonts w:asciiTheme="minorHAnsi" w:hAnsiTheme="minorHAnsi" w:cstheme="minorHAnsi"/>
          <w:color w:val="2C2C2A"/>
        </w:rPr>
        <w:t xml:space="preserve"> effort where expected return is highest.</w:t>
      </w:r>
    </w:p>
    <w:p w14:paraId="7F0FD831" w14:textId="5CC503FE" w:rsidR="002811B7" w:rsidRPr="000A2A12" w:rsidRDefault="00000000" w:rsidP="00C94ABC">
      <w:pPr>
        <w:pStyle w:val="ListParagraph"/>
        <w:numPr>
          <w:ilvl w:val="0"/>
          <w:numId w:val="2"/>
        </w:numPr>
        <w:spacing w:before="40" w:after="80"/>
        <w:jc w:val="both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2C2C2A"/>
        </w:rPr>
        <w:t xml:space="preserve">Segment </w:t>
      </w:r>
      <w:r w:rsidR="00C94ABC" w:rsidRPr="000A2A12">
        <w:rPr>
          <w:rFonts w:asciiTheme="minorHAnsi" w:hAnsiTheme="minorHAnsi" w:cstheme="minorHAnsi"/>
          <w:b/>
          <w:bCs/>
          <w:color w:val="2C2C2A"/>
        </w:rPr>
        <w:t>Intelligence</w:t>
      </w:r>
      <w:r w:rsidR="00C94ABC" w:rsidRPr="000A2A12">
        <w:rPr>
          <w:rFonts w:asciiTheme="minorHAnsi" w:hAnsiTheme="minorHAnsi" w:cstheme="minorHAnsi"/>
          <w:color w:val="2C2C2A"/>
        </w:rPr>
        <w:t>,</w:t>
      </w:r>
      <w:r w:rsidRPr="000A2A12">
        <w:rPr>
          <w:rFonts w:asciiTheme="minorHAnsi" w:hAnsiTheme="minorHAnsi" w:cstheme="minorHAnsi"/>
          <w:color w:val="2C2C2A"/>
        </w:rPr>
        <w:t xml:space="preserve"> Conversion patterns across job types, contact channels, and campaign history are visualized to guide strategy, campaign design, and resource allocation.</w:t>
      </w:r>
    </w:p>
    <w:p w14:paraId="1DE5C49E" w14:textId="77777777" w:rsidR="002811B7" w:rsidRPr="000A2A12" w:rsidRDefault="002811B7" w:rsidP="00C94ABC">
      <w:pPr>
        <w:spacing w:after="140"/>
        <w:jc w:val="both"/>
        <w:rPr>
          <w:rFonts w:asciiTheme="minorHAnsi" w:hAnsiTheme="minorHAnsi" w:cstheme="minorHAnsi"/>
        </w:rPr>
      </w:pPr>
    </w:p>
    <w:p w14:paraId="12B49BC5" w14:textId="77777777" w:rsidR="002811B7" w:rsidRPr="000A2A12" w:rsidRDefault="00000000" w:rsidP="00C94ABC">
      <w:pPr>
        <w:pBdr>
          <w:bottom w:val="single" w:sz="6" w:space="1" w:color="1A5C38"/>
        </w:pBdr>
        <w:spacing w:before="220" w:after="100"/>
        <w:jc w:val="both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>DATA SOURCE &amp; INPUTS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2811B7" w:rsidRPr="000A2A12" w14:paraId="7B755F84" w14:textId="77777777" w:rsidTr="000A2A1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6BF4DEB0" w14:textId="77777777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  <w:sz w:val="18"/>
                <w:szCs w:val="18"/>
              </w:rPr>
              <w:t>Source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C0FF6A2" w14:textId="0D849A14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UCI Bank Marketing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Dataset,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41,188 historical customer records from a European retail bank</w:t>
            </w:r>
          </w:p>
        </w:tc>
      </w:tr>
      <w:tr w:rsidR="002811B7" w:rsidRPr="000A2A12" w14:paraId="66596872" w14:textId="77777777" w:rsidTr="000A2A1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60DE53C5" w14:textId="77777777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  <w:sz w:val="18"/>
                <w:szCs w:val="18"/>
              </w:rPr>
              <w:t>Scope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4C40A07B" w14:textId="77777777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21 customer attributes including demographics, product holdings, contact history, and macroeconomic indicators</w:t>
            </w:r>
          </w:p>
        </w:tc>
      </w:tr>
      <w:tr w:rsidR="002811B7" w:rsidRPr="000A2A12" w14:paraId="1ABAA604" w14:textId="77777777" w:rsidTr="000A2A1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F08CE7C" w14:textId="77777777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  <w:sz w:val="18"/>
                <w:szCs w:val="18"/>
              </w:rPr>
              <w:t>Target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5FE62231" w14:textId="77777777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Binary outcome: whether a customer subscribed to a term deposit product (yes / no)</w:t>
            </w:r>
          </w:p>
        </w:tc>
      </w:tr>
      <w:tr w:rsidR="002811B7" w:rsidRPr="000A2A12" w14:paraId="6A045D2D" w14:textId="77777777" w:rsidTr="000A2A1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057FB6BB" w14:textId="77777777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  <w:sz w:val="18"/>
                <w:szCs w:val="18"/>
              </w:rPr>
              <w:t>Key Signals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0F91DE28" w14:textId="77777777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Previous campaign outcome, contact channel (cellular vs. telephone), employment life stage, consumer confidence index, and contact recency</w:t>
            </w:r>
          </w:p>
        </w:tc>
      </w:tr>
      <w:tr w:rsidR="002811B7" w:rsidRPr="000A2A12" w14:paraId="523C21A1" w14:textId="77777777" w:rsidTr="000A2A12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44776D7A" w14:textId="77777777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  <w:sz w:val="18"/>
                <w:szCs w:val="18"/>
              </w:rPr>
              <w:t>Model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34AFAAE7" w14:textId="30ACD571" w:rsidR="002811B7" w:rsidRPr="000A2A12" w:rsidRDefault="00000000" w:rsidP="00C94ABC">
            <w:pPr>
              <w:jc w:val="both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XGBoost gradient boosting with isotonic probability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calibration,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ensures scores represent true conversion probabilities, not relative ranks</w:t>
            </w:r>
          </w:p>
        </w:tc>
      </w:tr>
    </w:tbl>
    <w:p w14:paraId="39BD0F74" w14:textId="209C273D" w:rsidR="00C94ABC" w:rsidRPr="000A2A12" w:rsidRDefault="00C94ABC">
      <w:pPr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</w:pPr>
    </w:p>
    <w:p w14:paraId="0AEEEF67" w14:textId="27B3D9F3" w:rsidR="002811B7" w:rsidRPr="000A2A12" w:rsidRDefault="00000000">
      <w:pPr>
        <w:pBdr>
          <w:bottom w:val="single" w:sz="6" w:space="1" w:color="1A5C38"/>
        </w:pBdr>
        <w:spacing w:before="220" w:after="100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>INTENDED AUDIENCE &amp; BUSINESS VALUE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5040"/>
      </w:tblGrid>
      <w:tr w:rsidR="002811B7" w:rsidRPr="000A2A12" w14:paraId="274981C0" w14:textId="77777777" w:rsidTr="000A2A12">
        <w:tblPrEx>
          <w:tblCellMar>
            <w:top w:w="0" w:type="dxa"/>
            <w:bottom w:w="0" w:type="dxa"/>
          </w:tblCellMar>
        </w:tblPrEx>
        <w:trPr>
          <w:trHeight w:val="2232"/>
        </w:trPr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71AD9F43" w14:textId="77777777" w:rsidR="002811B7" w:rsidRPr="000A2A12" w:rsidRDefault="00000000">
            <w:pPr>
              <w:spacing w:after="6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  <w:sz w:val="18"/>
                <w:szCs w:val="18"/>
              </w:rPr>
              <w:t>Primary Users</w:t>
            </w:r>
          </w:p>
          <w:p w14:paraId="2CC3BDBC" w14:textId="3CE33015" w:rsidR="002811B7" w:rsidRPr="000A2A12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Sales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Managers,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weekly priority calling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list.</w:t>
            </w:r>
          </w:p>
          <w:p w14:paraId="6C529A74" w14:textId="2F8C1DBE" w:rsidR="002811B7" w:rsidRPr="000A2A12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Frontline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Bankers,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customer-level action guidance</w:t>
            </w:r>
          </w:p>
          <w:p w14:paraId="37FC4715" w14:textId="0FD0CB12" w:rsidR="002811B7" w:rsidRPr="000A2A12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Decision Analytics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Leadership,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ROI,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and lift reporting</w:t>
            </w:r>
          </w:p>
          <w:p w14:paraId="643FBCAE" w14:textId="18115358" w:rsidR="002811B7" w:rsidRPr="000A2A12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Campaign Strategy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Teams,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segment,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and channel insights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36470F" w14:textId="77777777" w:rsidR="002811B7" w:rsidRPr="000A2A12" w:rsidRDefault="00000000">
            <w:pPr>
              <w:spacing w:after="6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  <w:sz w:val="18"/>
                <w:szCs w:val="18"/>
              </w:rPr>
              <w:t>Business Value Delivered</w:t>
            </w:r>
          </w:p>
          <w:p w14:paraId="49510136" w14:textId="77777777" w:rsidR="002811B7" w:rsidRPr="000A2A12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6.4x conversion lift over unguided outreach</w:t>
            </w:r>
          </w:p>
          <w:p w14:paraId="43A84AB6" w14:textId="77777777" w:rsidR="002811B7" w:rsidRPr="000A2A12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72% expected conversion rate for Tier A leads</w:t>
            </w:r>
          </w:p>
          <w:p w14:paraId="2A46F6A5" w14:textId="6BEF9CDB" w:rsidR="002811B7" w:rsidRPr="000A2A12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8x precision uplift on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top 200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weekly call list</w:t>
            </w:r>
          </w:p>
          <w:p w14:paraId="7F70D933" w14:textId="77777777" w:rsidR="002811B7" w:rsidRPr="000A2A12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Reduced cost-per-acquisition through contact efficiency</w:t>
            </w:r>
          </w:p>
        </w:tc>
      </w:tr>
    </w:tbl>
    <w:p w14:paraId="39E380B9" w14:textId="4A00C524" w:rsidR="002811B7" w:rsidRPr="000A2A12" w:rsidRDefault="002811B7">
      <w:pPr>
        <w:rPr>
          <w:rFonts w:asciiTheme="minorHAnsi" w:hAnsiTheme="minorHAnsi" w:cstheme="minorHAnsi"/>
        </w:rPr>
      </w:pPr>
    </w:p>
    <w:p w14:paraId="0DE5763F" w14:textId="7E4562A0" w:rsidR="000A2A12" w:rsidRPr="000A2A12" w:rsidRDefault="000A2A12" w:rsidP="000A2A12">
      <w:pPr>
        <w:rPr>
          <w:rFonts w:asciiTheme="minorHAnsi" w:hAnsiTheme="minorHAnsi" w:cstheme="minorHAnsi"/>
          <w:b/>
          <w:bCs/>
          <w:color w:val="0D3D24"/>
          <w:sz w:val="28"/>
          <w:szCs w:val="28"/>
        </w:rPr>
      </w:pPr>
      <w:r w:rsidRPr="000A2A12">
        <w:rPr>
          <w:rFonts w:asciiTheme="minorHAnsi" w:hAnsiTheme="minorHAnsi" w:cstheme="minorHAnsi"/>
          <w:b/>
          <w:bCs/>
          <w:color w:val="0D3D24"/>
          <w:sz w:val="28"/>
          <w:szCs w:val="28"/>
        </w:rPr>
        <w:lastRenderedPageBreak/>
        <w:t xml:space="preserve">Application </w:t>
      </w:r>
      <w:r w:rsidRPr="000A2A12">
        <w:rPr>
          <w:rFonts w:asciiTheme="minorHAnsi" w:hAnsiTheme="minorHAnsi" w:cstheme="minorHAnsi"/>
          <w:b/>
          <w:bCs/>
          <w:color w:val="0D3D24"/>
          <w:sz w:val="28"/>
          <w:szCs w:val="28"/>
        </w:rPr>
        <w:t>Walkthrough:</w:t>
      </w:r>
    </w:p>
    <w:p w14:paraId="7645B550" w14:textId="0748C620" w:rsidR="000A2A12" w:rsidRPr="000A2A12" w:rsidRDefault="000A2A12" w:rsidP="000A2A12">
      <w:pPr>
        <w:rPr>
          <w:rFonts w:asciiTheme="minorHAnsi" w:hAnsiTheme="minorHAnsi" w:cstheme="minorHAnsi"/>
          <w:color w:val="808080" w:themeColor="background1" w:themeShade="80"/>
        </w:rPr>
      </w:pPr>
      <w:r w:rsidRPr="000A2A12">
        <w:rPr>
          <w:rFonts w:asciiTheme="minorHAnsi" w:hAnsiTheme="minorHAnsi" w:cstheme="minorHAnsi"/>
          <w:i/>
          <w:iCs/>
          <w:color w:val="808080" w:themeColor="background1" w:themeShade="80"/>
        </w:rPr>
        <w:t>Lead Intelligence Dashboard · Three-View Analytics Platform</w:t>
      </w:r>
    </w:p>
    <w:p w14:paraId="3F09A3D4" w14:textId="77777777" w:rsidR="000A2A12" w:rsidRDefault="000A2A12" w:rsidP="000A2A12">
      <w:pPr>
        <w:spacing w:after="30"/>
        <w:rPr>
          <w:rFonts w:asciiTheme="minorHAnsi" w:hAnsiTheme="minorHAnsi" w:cstheme="minorHAnsi"/>
          <w:b/>
          <w:bCs/>
          <w:color w:val="0D3D24"/>
          <w:sz w:val="18"/>
          <w:szCs w:val="18"/>
        </w:rPr>
      </w:pPr>
    </w:p>
    <w:p w14:paraId="3BF10363" w14:textId="551FD27D" w:rsidR="000A2A12" w:rsidRPr="000A2A12" w:rsidRDefault="000A2A12" w:rsidP="000A2A12">
      <w:pPr>
        <w:spacing w:after="30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0D3D24"/>
          <w:sz w:val="18"/>
          <w:szCs w:val="18"/>
        </w:rPr>
        <w:t xml:space="preserve">Tier A leads, with just 3.6% of the total books, are expected to convert </w:t>
      </w:r>
      <w:r w:rsidR="00A430B1" w:rsidRPr="000A2A12">
        <w:rPr>
          <w:rFonts w:asciiTheme="minorHAnsi" w:hAnsiTheme="minorHAnsi" w:cstheme="minorHAnsi"/>
          <w:b/>
          <w:bCs/>
          <w:color w:val="0D3D24"/>
          <w:sz w:val="18"/>
          <w:szCs w:val="18"/>
        </w:rPr>
        <w:t>to</w:t>
      </w:r>
      <w:r w:rsidRPr="000A2A12">
        <w:rPr>
          <w:rFonts w:asciiTheme="minorHAnsi" w:hAnsiTheme="minorHAnsi" w:cstheme="minorHAnsi"/>
          <w:b/>
          <w:bCs/>
          <w:color w:val="0D3D24"/>
          <w:sz w:val="18"/>
          <w:szCs w:val="18"/>
        </w:rPr>
        <w:t xml:space="preserve"> 72%, compared to an 11% baseline. Focusing banker effort on this cohort delivers 6x the commercial return per call.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811B7" w:rsidRPr="000A2A12" w14:paraId="26CC2F0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00" w:type="dxa"/>
            </w:tcMar>
            <w:vAlign w:val="center"/>
          </w:tcPr>
          <w:p w14:paraId="6AD2CC78" w14:textId="77777777" w:rsidR="002811B7" w:rsidRPr="000A2A12" w:rsidRDefault="00000000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555555"/>
                <w:sz w:val="15"/>
                <w:szCs w:val="15"/>
              </w:rPr>
              <w:t>Total Customers Scored</w:t>
            </w:r>
          </w:p>
          <w:p w14:paraId="33FAFF85" w14:textId="77777777" w:rsidR="002811B7" w:rsidRPr="000A2A12" w:rsidRDefault="00000000">
            <w:pPr>
              <w:spacing w:after="2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2C2C2A"/>
                <w:sz w:val="32"/>
                <w:szCs w:val="32"/>
              </w:rPr>
              <w:t>41,188</w:t>
            </w:r>
          </w:p>
        </w:tc>
        <w:tc>
          <w:tcPr>
            <w:tcW w:w="2340" w:type="dxa"/>
            <w:tcBorders>
              <w:top w:val="single" w:sz="6" w:space="0" w:color="1A5C38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E8F4ED"/>
            <w:tcMar>
              <w:top w:w="120" w:type="dxa"/>
              <w:left w:w="140" w:type="dxa"/>
              <w:bottom w:w="120" w:type="dxa"/>
              <w:right w:w="100" w:type="dxa"/>
            </w:tcMar>
            <w:vAlign w:val="center"/>
          </w:tcPr>
          <w:p w14:paraId="3F2968C2" w14:textId="77777777" w:rsidR="002811B7" w:rsidRPr="000A2A12" w:rsidRDefault="00000000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555555"/>
                <w:sz w:val="15"/>
                <w:szCs w:val="15"/>
              </w:rPr>
              <w:t>Tier A Priority Leads</w:t>
            </w:r>
          </w:p>
          <w:p w14:paraId="32A4B358" w14:textId="77777777" w:rsidR="002811B7" w:rsidRPr="000A2A12" w:rsidRDefault="00000000">
            <w:pPr>
              <w:spacing w:after="2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0D3D24"/>
                <w:sz w:val="36"/>
                <w:szCs w:val="36"/>
              </w:rPr>
              <w:t>1,466</w:t>
            </w:r>
          </w:p>
          <w:p w14:paraId="7380FAC7" w14:textId="77777777" w:rsidR="002811B7" w:rsidRPr="000A2A12" w:rsidRDefault="00000000">
            <w:pPr>
              <w:rPr>
                <w:rFonts w:asciiTheme="minorHAnsi" w:hAnsiTheme="minorHAnsi" w:cstheme="minorHAnsi"/>
              </w:rPr>
            </w:pPr>
            <w:r w:rsidRPr="000A2A12">
              <w:rPr>
                <w:b/>
                <w:bCs/>
                <w:color w:val="2E7D54"/>
                <w:sz w:val="16"/>
                <w:szCs w:val="16"/>
              </w:rPr>
              <w:t>▲</w:t>
            </w:r>
            <w:r w:rsidRPr="000A2A12">
              <w:rPr>
                <w:rFonts w:asciiTheme="minorHAnsi" w:hAnsiTheme="minorHAnsi" w:cstheme="minorHAnsi"/>
                <w:b/>
                <w:bCs/>
                <w:color w:val="2E7D54"/>
                <w:sz w:val="16"/>
                <w:szCs w:val="16"/>
              </w:rPr>
              <w:t xml:space="preserve"> 3.6% of book</w:t>
            </w:r>
          </w:p>
        </w:tc>
        <w:tc>
          <w:tcPr>
            <w:tcW w:w="2340" w:type="dxa"/>
            <w:tcBorders>
              <w:top w:val="single" w:sz="6" w:space="0" w:color="1A5C38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E8F4ED"/>
            <w:tcMar>
              <w:top w:w="120" w:type="dxa"/>
              <w:left w:w="140" w:type="dxa"/>
              <w:bottom w:w="120" w:type="dxa"/>
              <w:right w:w="100" w:type="dxa"/>
            </w:tcMar>
            <w:vAlign w:val="center"/>
          </w:tcPr>
          <w:p w14:paraId="36218CE5" w14:textId="77777777" w:rsidR="002811B7" w:rsidRPr="000A2A12" w:rsidRDefault="00000000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555555"/>
                <w:sz w:val="15"/>
                <w:szCs w:val="15"/>
              </w:rPr>
              <w:t>Tier A Conversion Rate</w:t>
            </w:r>
          </w:p>
          <w:p w14:paraId="4026F68C" w14:textId="77777777" w:rsidR="002811B7" w:rsidRPr="000A2A12" w:rsidRDefault="00000000">
            <w:pPr>
              <w:spacing w:after="2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0D3D24"/>
                <w:sz w:val="36"/>
                <w:szCs w:val="36"/>
              </w:rPr>
              <w:t>72.2%</w:t>
            </w:r>
          </w:p>
          <w:p w14:paraId="31CD2C08" w14:textId="77777777" w:rsidR="002811B7" w:rsidRPr="000A2A12" w:rsidRDefault="00000000">
            <w:pPr>
              <w:rPr>
                <w:rFonts w:asciiTheme="minorHAnsi" w:hAnsiTheme="minorHAnsi" w:cstheme="minorHAnsi"/>
              </w:rPr>
            </w:pPr>
            <w:r w:rsidRPr="000A2A12">
              <w:rPr>
                <w:b/>
                <w:bCs/>
                <w:color w:val="2E7D54"/>
                <w:sz w:val="16"/>
                <w:szCs w:val="16"/>
              </w:rPr>
              <w:t>▲</w:t>
            </w:r>
            <w:r w:rsidRPr="000A2A12">
              <w:rPr>
                <w:rFonts w:asciiTheme="minorHAnsi" w:hAnsiTheme="minorHAnsi" w:cstheme="minorHAnsi"/>
                <w:b/>
                <w:bCs/>
                <w:color w:val="2E7D54"/>
                <w:sz w:val="16"/>
                <w:szCs w:val="16"/>
              </w:rPr>
              <w:t xml:space="preserve"> +61.0% vs baseline</w:t>
            </w:r>
          </w:p>
        </w:tc>
        <w:tc>
          <w:tcPr>
            <w:tcW w:w="234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00" w:type="dxa"/>
            </w:tcMar>
            <w:vAlign w:val="center"/>
          </w:tcPr>
          <w:p w14:paraId="271EFA36" w14:textId="77777777" w:rsidR="002811B7" w:rsidRPr="000A2A12" w:rsidRDefault="00000000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555555"/>
                <w:sz w:val="15"/>
                <w:szCs w:val="15"/>
              </w:rPr>
              <w:t>Baseline Rate</w:t>
            </w:r>
          </w:p>
          <w:p w14:paraId="6A71B225" w14:textId="77777777" w:rsidR="002811B7" w:rsidRPr="000A2A12" w:rsidRDefault="00000000">
            <w:pPr>
              <w:spacing w:after="2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2C2C2A"/>
                <w:sz w:val="32"/>
                <w:szCs w:val="32"/>
              </w:rPr>
              <w:t>11.3%</w:t>
            </w:r>
          </w:p>
        </w:tc>
      </w:tr>
    </w:tbl>
    <w:p w14:paraId="0235D7FF" w14:textId="77777777" w:rsidR="002811B7" w:rsidRPr="000A2A12" w:rsidRDefault="002811B7">
      <w:pPr>
        <w:spacing w:after="60"/>
        <w:rPr>
          <w:rFonts w:asciiTheme="minorHAnsi" w:hAnsiTheme="minorHAnsi" w:cstheme="minorHAnsi"/>
        </w:rPr>
      </w:pPr>
    </w:p>
    <w:p w14:paraId="2B6803F1" w14:textId="4348700B" w:rsidR="002811B7" w:rsidRPr="000A2A12" w:rsidRDefault="00000000">
      <w:pPr>
        <w:pBdr>
          <w:bottom w:val="single" w:sz="6" w:space="1" w:color="1A5C38"/>
        </w:pBdr>
        <w:spacing w:before="220" w:after="100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 xml:space="preserve">TAB </w:t>
      </w:r>
      <w:r w:rsidR="00C94ABC"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>1,</w:t>
      </w:r>
      <w:r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 xml:space="preserve"> PRIORITY LEAD LIST</w:t>
      </w:r>
    </w:p>
    <w:tbl>
      <w:tblPr>
        <w:tblW w:w="100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6"/>
        <w:gridCol w:w="5544"/>
      </w:tblGrid>
      <w:tr w:rsidR="002811B7" w:rsidRPr="000A2A12" w14:paraId="4E7B737D" w14:textId="77777777" w:rsidTr="000A2A12">
        <w:tblPrEx>
          <w:tblCellMar>
            <w:top w:w="0" w:type="dxa"/>
            <w:bottom w:w="0" w:type="dxa"/>
          </w:tblCellMar>
        </w:tblPrEx>
        <w:tc>
          <w:tcPr>
            <w:tcW w:w="4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237B32CB" w14:textId="77777777" w:rsidR="002811B7" w:rsidRPr="000A2A12" w:rsidRDefault="00000000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</w:rPr>
              <w:t>What it shows:</w:t>
            </w:r>
          </w:p>
          <w:p w14:paraId="4858604D" w14:textId="2B0C6E4A" w:rsidR="002811B7" w:rsidRPr="000A2A12" w:rsidRDefault="00000000">
            <w:pPr>
              <w:spacing w:after="8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A ranked, filterable table of the highest-propensity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customers,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sorted by conversion likelihood and colour-coded by score intensity. The darkest green rows are the banker's first calls of the week.</w:t>
            </w:r>
          </w:p>
          <w:p w14:paraId="0173398D" w14:textId="77777777" w:rsidR="002811B7" w:rsidRPr="000A2A12" w:rsidRDefault="00000000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</w:rPr>
              <w:t>Why it matters:</w:t>
            </w:r>
          </w:p>
          <w:p w14:paraId="3C7385F4" w14:textId="4A6F0F3B" w:rsidR="002811B7" w:rsidRPr="000A2A12" w:rsidRDefault="00000000">
            <w:pPr>
              <w:spacing w:after="8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Bankers receive a concrete, prioritized contact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list,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removing guesswork from daily outreach planning. A one-click CSV download </w:t>
            </w:r>
            <w:r w:rsidR="00C94ABC"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route</w:t>
            </w: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 xml:space="preserve"> leads directly into CRM workflows.</w:t>
            </w:r>
          </w:p>
          <w:p w14:paraId="1779CC7E" w14:textId="77777777" w:rsidR="002811B7" w:rsidRPr="000A2A12" w:rsidRDefault="002811B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51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53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160"/>
              <w:gridCol w:w="1087"/>
              <w:gridCol w:w="630"/>
              <w:gridCol w:w="810"/>
              <w:gridCol w:w="900"/>
              <w:gridCol w:w="951"/>
            </w:tblGrid>
            <w:tr w:rsidR="002811B7" w:rsidRPr="000A2A12" w14:paraId="4E6A8182" w14:textId="77777777" w:rsidTr="00C94ABC">
              <w:tblPrEx>
                <w:tblCellMar>
                  <w:top w:w="0" w:type="dxa"/>
                  <w:bottom w:w="0" w:type="dxa"/>
                </w:tblCellMar>
              </w:tblPrEx>
              <w:trPr>
                <w:trHeight w:val="184"/>
              </w:trPr>
              <w:tc>
                <w:tcPr>
                  <w:tcW w:w="116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0D3D24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36A6C5A1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5"/>
                      <w:szCs w:val="15"/>
                    </w:rPr>
                    <w:t>Propensity Score</w:t>
                  </w:r>
                </w:p>
              </w:tc>
              <w:tc>
                <w:tcPr>
                  <w:tcW w:w="1087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0D3D24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36F892BF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5"/>
                      <w:szCs w:val="15"/>
                    </w:rPr>
                    <w:t>Lead Tier</w:t>
                  </w:r>
                </w:p>
              </w:tc>
              <w:tc>
                <w:tcPr>
                  <w:tcW w:w="63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0D3D24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79227A62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5"/>
                      <w:szCs w:val="15"/>
                    </w:rPr>
                    <w:t>Age</w:t>
                  </w:r>
                </w:p>
              </w:tc>
              <w:tc>
                <w:tcPr>
                  <w:tcW w:w="81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0D3D24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3ABDE901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5"/>
                      <w:szCs w:val="15"/>
                    </w:rPr>
                    <w:t>Cellular</w:t>
                  </w:r>
                </w:p>
              </w:tc>
              <w:tc>
                <w:tcPr>
                  <w:tcW w:w="90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0D3D24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22A09851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5"/>
                      <w:szCs w:val="15"/>
                    </w:rPr>
                    <w:t>Prev. Contact</w:t>
                  </w:r>
                </w:p>
              </w:tc>
              <w:tc>
                <w:tcPr>
                  <w:tcW w:w="951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0D3D24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060023CF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5"/>
                      <w:szCs w:val="15"/>
                    </w:rPr>
                    <w:t>Prev. Success</w:t>
                  </w:r>
                </w:p>
              </w:tc>
            </w:tr>
            <w:tr w:rsidR="002811B7" w:rsidRPr="000A2A12" w14:paraId="75347D4B" w14:textId="77777777" w:rsidTr="00C94ABC">
              <w:tblPrEx>
                <w:tblCellMar>
                  <w:top w:w="0" w:type="dxa"/>
                  <w:bottom w:w="0" w:type="dxa"/>
                </w:tblCellMar>
              </w:tblPrEx>
              <w:trPr>
                <w:trHeight w:val="198"/>
              </w:trPr>
              <w:tc>
                <w:tcPr>
                  <w:tcW w:w="116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1A5C38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66F732BD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7"/>
                      <w:szCs w:val="17"/>
                    </w:rPr>
                    <w:t>1.000</w:t>
                  </w:r>
                </w:p>
              </w:tc>
              <w:tc>
                <w:tcPr>
                  <w:tcW w:w="1087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346266AF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1A5C38"/>
                      <w:sz w:val="17"/>
                      <w:szCs w:val="17"/>
                    </w:rPr>
                    <w:t>A - High</w:t>
                  </w:r>
                </w:p>
              </w:tc>
              <w:tc>
                <w:tcPr>
                  <w:tcW w:w="63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3E0A223D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92</w:t>
                  </w:r>
                </w:p>
              </w:tc>
              <w:tc>
                <w:tcPr>
                  <w:tcW w:w="81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25D04FC2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0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439097E6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51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1D2024E7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</w:tr>
            <w:tr w:rsidR="002811B7" w:rsidRPr="000A2A12" w14:paraId="59991E4E" w14:textId="77777777" w:rsidTr="00C94ABC">
              <w:tblPrEx>
                <w:tblCellMar>
                  <w:top w:w="0" w:type="dxa"/>
                  <w:bottom w:w="0" w:type="dxa"/>
                </w:tblCellMar>
              </w:tblPrEx>
              <w:trPr>
                <w:trHeight w:val="198"/>
              </w:trPr>
              <w:tc>
                <w:tcPr>
                  <w:tcW w:w="116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1F6E42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79B79C1B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7"/>
                      <w:szCs w:val="17"/>
                    </w:rPr>
                    <w:t>1.000</w:t>
                  </w:r>
                </w:p>
              </w:tc>
              <w:tc>
                <w:tcPr>
                  <w:tcW w:w="1087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13ECAD60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1A5C38"/>
                      <w:sz w:val="17"/>
                      <w:szCs w:val="17"/>
                    </w:rPr>
                    <w:t>A - High</w:t>
                  </w:r>
                </w:p>
              </w:tc>
              <w:tc>
                <w:tcPr>
                  <w:tcW w:w="63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79C3EF33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92</w:t>
                  </w:r>
                </w:p>
              </w:tc>
              <w:tc>
                <w:tcPr>
                  <w:tcW w:w="81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6CBC61A0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0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11FA18C2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51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42949807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</w:tr>
            <w:tr w:rsidR="002811B7" w:rsidRPr="000A2A12" w14:paraId="0BD03C87" w14:textId="77777777" w:rsidTr="00C94ABC">
              <w:tblPrEx>
                <w:tblCellMar>
                  <w:top w:w="0" w:type="dxa"/>
                  <w:bottom w:w="0" w:type="dxa"/>
                </w:tblCellMar>
              </w:tblPrEx>
              <w:trPr>
                <w:trHeight w:val="198"/>
              </w:trPr>
              <w:tc>
                <w:tcPr>
                  <w:tcW w:w="116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2E7D5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622C8767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7"/>
                      <w:szCs w:val="17"/>
                    </w:rPr>
                    <w:t>0.944</w:t>
                  </w:r>
                </w:p>
              </w:tc>
              <w:tc>
                <w:tcPr>
                  <w:tcW w:w="1087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615357ED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1A5C38"/>
                      <w:sz w:val="17"/>
                      <w:szCs w:val="17"/>
                    </w:rPr>
                    <w:t>A - High</w:t>
                  </w:r>
                </w:p>
              </w:tc>
              <w:tc>
                <w:tcPr>
                  <w:tcW w:w="63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5561134F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77</w:t>
                  </w:r>
                </w:p>
              </w:tc>
              <w:tc>
                <w:tcPr>
                  <w:tcW w:w="81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082EB357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0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02A2CAD4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51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3A4BDFA9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</w:tr>
            <w:tr w:rsidR="002811B7" w:rsidRPr="000A2A12" w14:paraId="7AD3F420" w14:textId="77777777" w:rsidTr="00C94ABC">
              <w:tblPrEx>
                <w:tblCellMar>
                  <w:top w:w="0" w:type="dxa"/>
                  <w:bottom w:w="0" w:type="dxa"/>
                </w:tblCellMar>
              </w:tblPrEx>
              <w:trPr>
                <w:trHeight w:val="198"/>
              </w:trPr>
              <w:tc>
                <w:tcPr>
                  <w:tcW w:w="116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3A8A5E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4EAEC143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7"/>
                      <w:szCs w:val="17"/>
                    </w:rPr>
                    <w:t>0.944</w:t>
                  </w:r>
                </w:p>
              </w:tc>
              <w:tc>
                <w:tcPr>
                  <w:tcW w:w="1087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2139065A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1A5C38"/>
                      <w:sz w:val="17"/>
                      <w:szCs w:val="17"/>
                    </w:rPr>
                    <w:t>A - High</w:t>
                  </w:r>
                </w:p>
              </w:tc>
              <w:tc>
                <w:tcPr>
                  <w:tcW w:w="63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23B56A76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84</w:t>
                  </w:r>
                </w:p>
              </w:tc>
              <w:tc>
                <w:tcPr>
                  <w:tcW w:w="81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01C1FA73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0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09B1CF7E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51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5F5F4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0571D3B8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</w:tr>
            <w:tr w:rsidR="002811B7" w:rsidRPr="000A2A12" w14:paraId="7CCC3DE1" w14:textId="77777777" w:rsidTr="00C94ABC">
              <w:tblPrEx>
                <w:tblCellMar>
                  <w:top w:w="0" w:type="dxa"/>
                  <w:bottom w:w="0" w:type="dxa"/>
                </w:tblCellMar>
              </w:tblPrEx>
              <w:trPr>
                <w:trHeight w:val="184"/>
              </w:trPr>
              <w:tc>
                <w:tcPr>
                  <w:tcW w:w="116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4A9A6E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30496CB6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b/>
                      <w:bCs/>
                      <w:color w:val="FFFFFF"/>
                      <w:sz w:val="17"/>
                      <w:szCs w:val="17"/>
                    </w:rPr>
                    <w:t>0.944</w:t>
                  </w:r>
                </w:p>
              </w:tc>
              <w:tc>
                <w:tcPr>
                  <w:tcW w:w="1087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0BDC4315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1A5C38"/>
                      <w:sz w:val="17"/>
                      <w:szCs w:val="17"/>
                    </w:rPr>
                    <w:t>A - High</w:t>
                  </w:r>
                </w:p>
              </w:tc>
              <w:tc>
                <w:tcPr>
                  <w:tcW w:w="63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1C06429D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85</w:t>
                  </w:r>
                </w:p>
              </w:tc>
              <w:tc>
                <w:tcPr>
                  <w:tcW w:w="81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37364D8A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00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39496C11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  <w:tc>
                <w:tcPr>
                  <w:tcW w:w="951" w:type="dxa"/>
                  <w:tcBorders>
                    <w:top w:val="single" w:sz="2" w:space="0" w:color="DDDDDD"/>
                    <w:left w:val="single" w:sz="2" w:space="0" w:color="DDDDDD"/>
                    <w:bottom w:val="single" w:sz="2" w:space="0" w:color="DDDDDD"/>
                    <w:right w:val="single" w:sz="2" w:space="0" w:color="DDDDDD"/>
                  </w:tcBorders>
                  <w:shd w:val="clear" w:color="auto" w:fill="FFFFFF"/>
                  <w:tcMar>
                    <w:top w:w="50" w:type="dxa"/>
                    <w:left w:w="80" w:type="dxa"/>
                    <w:bottom w:w="50" w:type="dxa"/>
                    <w:right w:w="60" w:type="dxa"/>
                  </w:tcMar>
                </w:tcPr>
                <w:p w14:paraId="50C3A636" w14:textId="77777777" w:rsidR="002811B7" w:rsidRPr="000A2A12" w:rsidRDefault="00000000">
                  <w:pPr>
                    <w:rPr>
                      <w:rFonts w:asciiTheme="minorHAnsi" w:hAnsiTheme="minorHAnsi" w:cstheme="minorHAnsi"/>
                    </w:rPr>
                  </w:pPr>
                  <w:r w:rsidRPr="000A2A12">
                    <w:rPr>
                      <w:rFonts w:asciiTheme="minorHAnsi" w:hAnsiTheme="minorHAnsi" w:cstheme="minorHAnsi"/>
                      <w:color w:val="2C2C2A"/>
                      <w:sz w:val="17"/>
                      <w:szCs w:val="17"/>
                    </w:rPr>
                    <w:t>Yes</w:t>
                  </w:r>
                </w:p>
              </w:tc>
            </w:tr>
          </w:tbl>
          <w:p w14:paraId="426EDFE4" w14:textId="77777777" w:rsidR="002811B7" w:rsidRPr="000A2A12" w:rsidRDefault="002811B7">
            <w:pPr>
              <w:spacing w:after="60"/>
              <w:rPr>
                <w:rFonts w:asciiTheme="minorHAnsi" w:hAnsiTheme="minorHAnsi" w:cstheme="minorHAnsi"/>
              </w:rPr>
            </w:pPr>
          </w:p>
          <w:p w14:paraId="34D0EF5C" w14:textId="77777777" w:rsidR="002811B7" w:rsidRPr="000A2A12" w:rsidRDefault="002811B7">
            <w:pPr>
              <w:rPr>
                <w:rFonts w:asciiTheme="minorHAnsi" w:hAnsiTheme="minorHAnsi" w:cstheme="minorHAnsi"/>
              </w:rPr>
            </w:pPr>
          </w:p>
        </w:tc>
      </w:tr>
    </w:tbl>
    <w:p w14:paraId="35E39087" w14:textId="542A7D4B" w:rsidR="002811B7" w:rsidRPr="000A2A12" w:rsidRDefault="00000000">
      <w:pPr>
        <w:pBdr>
          <w:bottom w:val="single" w:sz="6" w:space="1" w:color="1A5C38"/>
        </w:pBdr>
        <w:spacing w:before="220" w:after="100"/>
        <w:rPr>
          <w:rFonts w:asciiTheme="minorHAnsi" w:hAnsiTheme="minorHAnsi" w:cstheme="minorHAnsi"/>
        </w:rPr>
      </w:pPr>
      <w:r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 xml:space="preserve">TAB </w:t>
      </w:r>
      <w:r w:rsidR="00C94ABC"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>2,</w:t>
      </w:r>
      <w:r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 xml:space="preserve"> SCORE DISTRIBUTION</w:t>
      </w:r>
    </w:p>
    <w:tbl>
      <w:tblPr>
        <w:tblW w:w="100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5"/>
        <w:gridCol w:w="5565"/>
      </w:tblGrid>
      <w:tr w:rsidR="000A2A12" w:rsidRPr="000A2A12" w14:paraId="18D3038F" w14:textId="77777777" w:rsidTr="00902487">
        <w:tblPrEx>
          <w:tblCellMar>
            <w:top w:w="0" w:type="dxa"/>
            <w:bottom w:w="0" w:type="dxa"/>
          </w:tblCellMar>
        </w:tblPrEx>
        <w:tc>
          <w:tcPr>
            <w:tcW w:w="4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1282F649" w14:textId="77777777" w:rsidR="000A2A12" w:rsidRPr="000A2A12" w:rsidRDefault="000A2A12" w:rsidP="000A2A12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</w:rPr>
              <w:t>What it shows:</w:t>
            </w:r>
          </w:p>
          <w:p w14:paraId="452F0332" w14:textId="77777777" w:rsidR="000A2A12" w:rsidRPr="000A2A12" w:rsidRDefault="000A2A12" w:rsidP="000A2A12">
            <w:pPr>
              <w:spacing w:after="8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Score distribution across all 41,188 customers, visualized by tier, alongside a head-to-head conversion rate comparison by tier.</w:t>
            </w:r>
          </w:p>
          <w:p w14:paraId="379A633D" w14:textId="77777777" w:rsidR="000A2A12" w:rsidRPr="000A2A12" w:rsidRDefault="000A2A12" w:rsidP="000A2A12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</w:rPr>
              <w:t>Why it matters:</w:t>
            </w:r>
          </w:p>
          <w:p w14:paraId="6419C288" w14:textId="379980D3" w:rsidR="000A2A12" w:rsidRPr="000A2A12" w:rsidRDefault="000A2A12" w:rsidP="000A2A12">
            <w:pPr>
              <w:spacing w:after="8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The separation between Tier A (72%) and Tier C (5.7%) validates model discrimination power. Leadership can immediately see that the scoring engine creates genuine, actionable signal, not noise.</w:t>
            </w:r>
          </w:p>
        </w:tc>
        <w:tc>
          <w:tcPr>
            <w:tcW w:w="51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BD32B9" w14:textId="67D3383D" w:rsidR="000A2A12" w:rsidRPr="000A2A12" w:rsidRDefault="000A2A12" w:rsidP="00902487">
            <w:pPr>
              <w:spacing w:after="6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</w:rPr>
              <w:drawing>
                <wp:inline distT="0" distB="0" distL="0" distR="0" wp14:anchorId="2D2178D8" wp14:editId="7825B388">
                  <wp:extent cx="3533775" cy="1596860"/>
                  <wp:effectExtent l="0" t="0" r="0" b="3810"/>
                  <wp:docPr id="1907381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738133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5332" cy="1611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4F99FB" w14:textId="77777777" w:rsidR="000A2A12" w:rsidRPr="000A2A12" w:rsidRDefault="000A2A12" w:rsidP="00902487">
            <w:pPr>
              <w:rPr>
                <w:rFonts w:asciiTheme="minorHAnsi" w:hAnsiTheme="minorHAnsi" w:cstheme="minorHAnsi"/>
              </w:rPr>
            </w:pPr>
          </w:p>
        </w:tc>
      </w:tr>
    </w:tbl>
    <w:p w14:paraId="6AF7650E" w14:textId="5254A904" w:rsidR="002811B7" w:rsidRPr="000A2A12" w:rsidRDefault="000A2A12">
      <w:pPr>
        <w:pBdr>
          <w:bottom w:val="single" w:sz="6" w:space="1" w:color="1A5C38"/>
        </w:pBdr>
        <w:spacing w:before="220" w:after="1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>T</w:t>
      </w:r>
      <w:r w:rsidR="00000000"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 xml:space="preserve">AB </w:t>
      </w:r>
      <w:r w:rsidR="00C94ABC"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>3,</w:t>
      </w:r>
      <w:r w:rsidR="00000000" w:rsidRPr="000A2A12">
        <w:rPr>
          <w:rFonts w:asciiTheme="minorHAnsi" w:hAnsiTheme="minorHAnsi" w:cstheme="minorHAnsi"/>
          <w:b/>
          <w:bCs/>
          <w:color w:val="1A5C38"/>
          <w:spacing w:val="40"/>
          <w:sz w:val="19"/>
          <w:szCs w:val="19"/>
        </w:rPr>
        <w:t xml:space="preserve"> SEGMENT INSIGHTS</w:t>
      </w:r>
    </w:p>
    <w:tbl>
      <w:tblPr>
        <w:tblW w:w="100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7"/>
        <w:gridCol w:w="5533"/>
      </w:tblGrid>
      <w:tr w:rsidR="000A2A12" w:rsidRPr="000A2A12" w14:paraId="432B3290" w14:textId="77777777" w:rsidTr="00902487">
        <w:tblPrEx>
          <w:tblCellMar>
            <w:top w:w="0" w:type="dxa"/>
            <w:bottom w:w="0" w:type="dxa"/>
          </w:tblCellMar>
        </w:tblPrEx>
        <w:tc>
          <w:tcPr>
            <w:tcW w:w="4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27AE0D19" w14:textId="77777777" w:rsidR="000A2A12" w:rsidRPr="000A2A12" w:rsidRDefault="000A2A12" w:rsidP="000A2A12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</w:rPr>
              <w:t>What it shows:</w:t>
            </w:r>
          </w:p>
          <w:p w14:paraId="5B393EBD" w14:textId="77777777" w:rsidR="000A2A12" w:rsidRPr="000A2A12" w:rsidRDefault="000A2A12" w:rsidP="000A2A12">
            <w:pPr>
              <w:spacing w:after="8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Two diagnostic charts: conversion rate by customer job category, and the conversion signal from previous campaign success. Both are key inputs to campaign targeting strategy.</w:t>
            </w:r>
          </w:p>
          <w:p w14:paraId="3E28BD84" w14:textId="77777777" w:rsidR="000A2A12" w:rsidRPr="000A2A12" w:rsidRDefault="000A2A12" w:rsidP="000A2A12">
            <w:pPr>
              <w:spacing w:after="4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  <w:b/>
                <w:bCs/>
                <w:color w:val="1A5C38"/>
              </w:rPr>
              <w:t>Why it matters:</w:t>
            </w:r>
          </w:p>
          <w:p w14:paraId="36F2CBDE" w14:textId="1DBB3471" w:rsidR="000A2A12" w:rsidRPr="000A2A12" w:rsidRDefault="000A2A12" w:rsidP="00902487">
            <w:pPr>
              <w:spacing w:after="80"/>
              <w:rPr>
                <w:rFonts w:asciiTheme="minorHAnsi" w:hAnsiTheme="minorHAnsi" w:cstheme="minorHAnsi"/>
                <w:color w:val="2C2C2A"/>
                <w:sz w:val="18"/>
                <w:szCs w:val="18"/>
              </w:rPr>
            </w:pPr>
            <w:r w:rsidRPr="000A2A12"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Retired customers change at 25%, over 2x the rate of most other segments. Customers with a prior successful campaign convert at 65%. These insights directly inform channel design, offer personalization, and campaign prioritization</w:t>
            </w:r>
            <w:r>
              <w:rPr>
                <w:rFonts w:asciiTheme="minorHAnsi" w:hAnsiTheme="minorHAnsi" w:cstheme="minorHAnsi"/>
                <w:color w:val="2C2C2A"/>
                <w:sz w:val="18"/>
                <w:szCs w:val="18"/>
              </w:rPr>
              <w:t>.</w:t>
            </w:r>
          </w:p>
        </w:tc>
        <w:tc>
          <w:tcPr>
            <w:tcW w:w="51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83D852" w14:textId="7B401D3C" w:rsidR="000A2A12" w:rsidRPr="000A2A12" w:rsidRDefault="000A2A12" w:rsidP="00902487">
            <w:pPr>
              <w:spacing w:after="60"/>
              <w:rPr>
                <w:rFonts w:asciiTheme="minorHAnsi" w:hAnsiTheme="minorHAnsi" w:cstheme="minorHAnsi"/>
              </w:rPr>
            </w:pPr>
            <w:r w:rsidRPr="000A2A12">
              <w:rPr>
                <w:rFonts w:asciiTheme="minorHAnsi" w:hAnsiTheme="minorHAnsi" w:cstheme="minorHAnsi"/>
              </w:rPr>
              <w:drawing>
                <wp:inline distT="0" distB="0" distL="0" distR="0" wp14:anchorId="65AE917D" wp14:editId="0AD97BFF">
                  <wp:extent cx="3513910" cy="1724025"/>
                  <wp:effectExtent l="0" t="0" r="0" b="0"/>
                  <wp:docPr id="6900210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00210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87" cy="1742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0E7F02" w14:textId="77777777" w:rsidR="000A2A12" w:rsidRPr="000A2A12" w:rsidRDefault="000A2A12" w:rsidP="00902487">
            <w:pPr>
              <w:rPr>
                <w:rFonts w:asciiTheme="minorHAnsi" w:hAnsiTheme="minorHAnsi" w:cstheme="minorHAnsi"/>
              </w:rPr>
            </w:pPr>
          </w:p>
        </w:tc>
      </w:tr>
    </w:tbl>
    <w:p w14:paraId="2F4D0E5D" w14:textId="77777777" w:rsidR="000A2A12" w:rsidRDefault="000A2A12" w:rsidP="000A2A12">
      <w:pPr>
        <w:spacing w:after="40"/>
        <w:rPr>
          <w:rFonts w:asciiTheme="minorHAnsi" w:hAnsiTheme="minorHAnsi" w:cstheme="minorHAnsi"/>
          <w:b/>
          <w:bCs/>
          <w:color w:val="1A5C38"/>
        </w:rPr>
      </w:pPr>
    </w:p>
    <w:sectPr w:rsidR="000A2A12"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F932F" w14:textId="77777777" w:rsidR="00933635" w:rsidRDefault="00933635" w:rsidP="00A430B1">
      <w:r>
        <w:separator/>
      </w:r>
    </w:p>
  </w:endnote>
  <w:endnote w:type="continuationSeparator" w:id="0">
    <w:p w14:paraId="47A0D925" w14:textId="77777777" w:rsidR="00933635" w:rsidRDefault="00933635" w:rsidP="00A430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54EEA" w14:textId="7892BD66" w:rsidR="00A430B1" w:rsidRPr="00A430B1" w:rsidRDefault="00A430B1" w:rsidP="00A430B1">
    <w:pPr>
      <w:pStyle w:val="Footer"/>
      <w:jc w:val="right"/>
      <w:rPr>
        <w:b/>
        <w:bCs/>
        <w:color w:val="538135" w:themeColor="accent6" w:themeShade="BF"/>
      </w:rPr>
    </w:pPr>
    <w:r w:rsidRPr="00A430B1">
      <w:rPr>
        <w:rFonts w:asciiTheme="minorHAnsi" w:hAnsiTheme="minorHAnsi" w:cstheme="minorHAnsi"/>
        <w:b/>
        <w:bCs/>
        <w:i/>
        <w:iCs/>
        <w:color w:val="538135" w:themeColor="accent6" w:themeShade="BF"/>
      </w:rPr>
      <w:t>Decision Analytics Portfolio · Surya Teja Nagula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67809" w14:textId="77777777" w:rsidR="00933635" w:rsidRDefault="00933635" w:rsidP="00A430B1">
      <w:r>
        <w:separator/>
      </w:r>
    </w:p>
  </w:footnote>
  <w:footnote w:type="continuationSeparator" w:id="0">
    <w:p w14:paraId="2D8DEE69" w14:textId="77777777" w:rsidR="00933635" w:rsidRDefault="00933635" w:rsidP="00A430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92B97"/>
    <w:multiLevelType w:val="hybridMultilevel"/>
    <w:tmpl w:val="EB9414D6"/>
    <w:lvl w:ilvl="0" w:tplc="93105410">
      <w:start w:val="1"/>
      <w:numFmt w:val="bullet"/>
      <w:lvlText w:val="●"/>
      <w:lvlJc w:val="left"/>
      <w:pPr>
        <w:ind w:left="720" w:hanging="360"/>
      </w:pPr>
    </w:lvl>
    <w:lvl w:ilvl="1" w:tplc="7D5259E8">
      <w:start w:val="1"/>
      <w:numFmt w:val="bullet"/>
      <w:lvlText w:val="○"/>
      <w:lvlJc w:val="left"/>
      <w:pPr>
        <w:ind w:left="1440" w:hanging="360"/>
      </w:pPr>
    </w:lvl>
    <w:lvl w:ilvl="2" w:tplc="A180393C">
      <w:start w:val="1"/>
      <w:numFmt w:val="bullet"/>
      <w:lvlText w:val="■"/>
      <w:lvlJc w:val="left"/>
      <w:pPr>
        <w:ind w:left="2160" w:hanging="360"/>
      </w:pPr>
    </w:lvl>
    <w:lvl w:ilvl="3" w:tplc="0BC86480">
      <w:start w:val="1"/>
      <w:numFmt w:val="bullet"/>
      <w:lvlText w:val="●"/>
      <w:lvlJc w:val="left"/>
      <w:pPr>
        <w:ind w:left="2880" w:hanging="360"/>
      </w:pPr>
    </w:lvl>
    <w:lvl w:ilvl="4" w:tplc="1D465D0E">
      <w:start w:val="1"/>
      <w:numFmt w:val="bullet"/>
      <w:lvlText w:val="○"/>
      <w:lvlJc w:val="left"/>
      <w:pPr>
        <w:ind w:left="3600" w:hanging="360"/>
      </w:pPr>
    </w:lvl>
    <w:lvl w:ilvl="5" w:tplc="617E7CCA">
      <w:start w:val="1"/>
      <w:numFmt w:val="bullet"/>
      <w:lvlText w:val="■"/>
      <w:lvlJc w:val="left"/>
      <w:pPr>
        <w:ind w:left="4320" w:hanging="360"/>
      </w:pPr>
    </w:lvl>
    <w:lvl w:ilvl="6" w:tplc="BD40BCCA">
      <w:start w:val="1"/>
      <w:numFmt w:val="bullet"/>
      <w:lvlText w:val="●"/>
      <w:lvlJc w:val="left"/>
      <w:pPr>
        <w:ind w:left="5040" w:hanging="360"/>
      </w:pPr>
    </w:lvl>
    <w:lvl w:ilvl="7" w:tplc="38E8948E">
      <w:start w:val="1"/>
      <w:numFmt w:val="bullet"/>
      <w:lvlText w:val="●"/>
      <w:lvlJc w:val="left"/>
      <w:pPr>
        <w:ind w:left="5760" w:hanging="360"/>
      </w:pPr>
    </w:lvl>
    <w:lvl w:ilvl="8" w:tplc="719495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73D4C3A"/>
    <w:multiLevelType w:val="hybridMultilevel"/>
    <w:tmpl w:val="144E3732"/>
    <w:lvl w:ilvl="0" w:tplc="F87EA606">
      <w:start w:val="1"/>
      <w:numFmt w:val="bullet"/>
      <w:lvlText w:val="–"/>
      <w:lvlJc w:val="left"/>
      <w:pPr>
        <w:spacing w:before="30" w:after="30"/>
        <w:ind w:left="480" w:hanging="280"/>
      </w:pPr>
      <w:rPr>
        <w:rFonts w:ascii="Arial" w:eastAsia="Arial" w:hAnsi="Arial" w:cs="Arial"/>
        <w:color w:val="1A5C38"/>
        <w:sz w:val="20"/>
        <w:szCs w:val="20"/>
      </w:rPr>
    </w:lvl>
    <w:lvl w:ilvl="1" w:tplc="D994BFA6">
      <w:numFmt w:val="decimal"/>
      <w:lvlText w:val=""/>
      <w:lvlJc w:val="left"/>
    </w:lvl>
    <w:lvl w:ilvl="2" w:tplc="CA12C1BE">
      <w:numFmt w:val="decimal"/>
      <w:lvlText w:val=""/>
      <w:lvlJc w:val="left"/>
    </w:lvl>
    <w:lvl w:ilvl="3" w:tplc="41A6CA12">
      <w:numFmt w:val="decimal"/>
      <w:lvlText w:val=""/>
      <w:lvlJc w:val="left"/>
    </w:lvl>
    <w:lvl w:ilvl="4" w:tplc="A71C76A4">
      <w:numFmt w:val="decimal"/>
      <w:lvlText w:val=""/>
      <w:lvlJc w:val="left"/>
    </w:lvl>
    <w:lvl w:ilvl="5" w:tplc="CDCCB022">
      <w:numFmt w:val="decimal"/>
      <w:lvlText w:val=""/>
      <w:lvlJc w:val="left"/>
    </w:lvl>
    <w:lvl w:ilvl="6" w:tplc="76F2A772">
      <w:numFmt w:val="decimal"/>
      <w:lvlText w:val=""/>
      <w:lvlJc w:val="left"/>
    </w:lvl>
    <w:lvl w:ilvl="7" w:tplc="7564E84E">
      <w:numFmt w:val="decimal"/>
      <w:lvlText w:val=""/>
      <w:lvlJc w:val="left"/>
    </w:lvl>
    <w:lvl w:ilvl="8" w:tplc="A23A287E">
      <w:numFmt w:val="decimal"/>
      <w:lvlText w:val=""/>
      <w:lvlJc w:val="left"/>
    </w:lvl>
  </w:abstractNum>
  <w:num w:numId="1" w16cid:durableId="508716023">
    <w:abstractNumId w:val="0"/>
    <w:lvlOverride w:ilvl="0">
      <w:startOverride w:val="1"/>
    </w:lvlOverride>
  </w:num>
  <w:num w:numId="2" w16cid:durableId="13235864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1B7"/>
    <w:rsid w:val="000551D1"/>
    <w:rsid w:val="000A2A12"/>
    <w:rsid w:val="002811B7"/>
    <w:rsid w:val="00933635"/>
    <w:rsid w:val="00A430B1"/>
    <w:rsid w:val="00C94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8B687"/>
  <w15:docId w15:val="{F06F9562-DB39-4245-A6F8-4139F76B9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430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30B1"/>
  </w:style>
  <w:style w:type="paragraph" w:styleId="Footer">
    <w:name w:val="footer"/>
    <w:basedOn w:val="Normal"/>
    <w:link w:val="FooterChar"/>
    <w:uiPriority w:val="99"/>
    <w:unhideWhenUsed/>
    <w:rsid w:val="00A430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30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705</Words>
  <Characters>4024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Nagula, Surya Teja</cp:lastModifiedBy>
  <cp:revision>2</cp:revision>
  <dcterms:created xsi:type="dcterms:W3CDTF">2026-05-06T01:49:00Z</dcterms:created>
  <dcterms:modified xsi:type="dcterms:W3CDTF">2026-05-06T03:58:00Z</dcterms:modified>
</cp:coreProperties>
</file>