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D24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Retail Banking — Lead Intelligence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8D5B8"/>
                <w:sz w:val="20"/>
                <w:szCs w:val="20"/>
              </w:rPr>
              <w:t xml:space="preserve">Executive Overview  ·  Decision Analytics Portfolio  ·  Surya Teja Nagula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THE BUSINESS PROBLEM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Retail banks maintain relationships with tens of thousands of customers — yet only a small fraction are ready to engage with a new product at any given moment. Without a systematic way to identify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who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to contact,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what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to offer, and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when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to act, sales teams face a fundamental inefficiency: high call volume, low conversion, and significant cost-per-acquisition.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8"/>
              <w:bottom w:val="none" w:color="FFFFFF" w:sz="0"/>
              <w:right w:val="none" w:color="FFFFFF" w:sz="0"/>
            </w:tcBorders>
            <w:shd w:fill="E8F4E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Without a lead scoring model, a banker calling 100 random customers expects approximately 11 conversions — an 11% hit rate.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With this intelligence engine, that same 100 calls targets the highest-propensity customers, yielding up to 72 conversions — a 6.4x improvement.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This is the difference between a scattershot campaign and a precision commercial strategy.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WHAT THIS SOLUTION DOES</w:t>
      </w:r>
    </w:p>
    <w:p>
      <w:pPr>
        <w:spacing w:after="6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The Retail Banking Lead Intelligence platform is an end-to-end decision analytics engine that ingests historical customer data, applies machine learning to predict product conversion likelihood, and surfaces a ranked, actionable weekly calling list — ready for frontline banker consumption. The platform operates across three core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Propensity Scoring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— Every customer receives a calibrated 0–1 probability score representing their likelihood to subscribe to a banking product in the current campaign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Lead Tiering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— Customers are segmented into Tier A (High), Tier B (Medium), and Tier C (Low) priority cohorts, enabling bankers to concentrate effort where expected return is highest.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Segment Intelligence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— Conversion patterns across job types, contact channels, and campaign history are visualized to guide strategy, campaign design, and resource allocation.</w:t>
      </w:r>
    </w:p>
    <w:p>
      <w:pPr>
        <w:spacing w:after="14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DATA SOURCE &amp; INPUTS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Source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UCI Bank Marketing Dataset — 41,188 historical customer records from a European retail bank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Scope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21 customer attributes including demographics, product holdings, contact history, and macroeconomic indicators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Target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Binary outcome: whether a customer subscribed to a term deposit product (yes / no)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Key Signals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Previous campaign outcome, contact channel (cellular vs. telephone), employment life stage, consumer confidence index, and contact recency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XGBoost gradient boosting with isotonic probability calibration — ensures scores represent true conversion probabilities, not relative ranks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INTENDED AUDIENCE &amp; BUSINESS VALUE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Primary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Sales Managers — weekly priority calling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Frontline Bankers — customer-level action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Decision Analytics Leadership — ROI and lift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Campaign Strategy Teams — segment and channel insights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Business Value Delivered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6.4x conversion lift over unguided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72% expected conversion rate for Tier A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8x precision uplift on top-200 weekly call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Reduced cost-per-acquisition through contact efficiency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1A5C3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Retail Banking Lead Intelligence  ·  Project by Surya Nagula</w:t>
            </w:r>
          </w:p>
        </w:tc>
        <w:tc>
          <w:tcPr>
            <w:tcW w:type="dxa" w:w="3360"/>
            <w:tcBorders>
              <w:top w:val="single" w:color="1A5C3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Confidential  ·  Page 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D24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Application Walkthrough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8D5B8"/>
                <w:sz w:val="20"/>
                <w:szCs w:val="20"/>
              </w:rPr>
              <w:t xml:space="preserve">Lead Intelligence Dashboard  ·  Three-View Analytics Platform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AT-A-GLANCE PERFORMANCE DASHBOARD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command centre. Four headline metrics give leadership an instant read on the health of the lead pipeline — updated in real time as filters are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Total Customers Scored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32"/>
                <w:szCs w:val="32"/>
              </w:rPr>
              <w:t xml:space="preserve">41,188</w:t>
            </w:r>
          </w:p>
        </w:tc>
        <w:tc>
          <w:tcPr>
            <w:tcW w:type="dxa" w:w="2340"/>
            <w:tcBorders>
              <w:top w:val="single" w:color="1A5C38" w:sz="6"/>
              <w:left w:val="single" w:color="DDDDDD" w:sz="2"/>
              <w:bottom w:val="single" w:color="DDDDDD" w:sz="2"/>
              <w:right w:val="single" w:color="DDDDDD" w:sz="2"/>
            </w:tcBorders>
            <w:shd w:fill="E8F4ED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Tier A Priority Leads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3D24"/>
                <w:sz w:val="36"/>
                <w:szCs w:val="36"/>
              </w:rPr>
              <w:t xml:space="preserve">1,466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54"/>
                <w:sz w:val="16"/>
                <w:szCs w:val="16"/>
              </w:rPr>
              <w:t xml:space="preserve">▲ 3.6% of book</w:t>
            </w:r>
          </w:p>
        </w:tc>
        <w:tc>
          <w:tcPr>
            <w:tcW w:type="dxa" w:w="2340"/>
            <w:tcBorders>
              <w:top w:val="single" w:color="1A5C38" w:sz="6"/>
              <w:left w:val="single" w:color="DDDDDD" w:sz="2"/>
              <w:bottom w:val="single" w:color="DDDDDD" w:sz="2"/>
              <w:right w:val="single" w:color="DDDDDD" w:sz="2"/>
            </w:tcBorders>
            <w:shd w:fill="E8F4ED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Tier A Conversion Rate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3D24"/>
                <w:sz w:val="36"/>
                <w:szCs w:val="36"/>
              </w:rPr>
              <w:t xml:space="preserve">72.2%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54"/>
                <w:sz w:val="16"/>
                <w:szCs w:val="16"/>
              </w:rPr>
              <w:t xml:space="preserve">▲ +61.0% vs baseline</w:t>
            </w:r>
          </w:p>
        </w:tc>
        <w:tc>
          <w:tcPr>
            <w:tcW w:type="dxa" w:w="23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Baseline Rate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32"/>
                <w:szCs w:val="32"/>
              </w:rPr>
              <w:t xml:space="preserve">11.3%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4"/>
              <w:bottom w:val="none" w:color="FFFFFF" w:sz="0"/>
              <w:right w:val="none" w:color="FFFFFF" w:sz="0"/>
            </w:tcBorders>
            <w:shd w:fill="E8F4ED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3D24"/>
                <w:sz w:val="18"/>
                <w:szCs w:val="18"/>
              </w:rPr>
              <w:t xml:space="preserve">Executive read: Tier A leads — just 3.6% of the total book — are expected to convert at 72%, compared to an 11% baseline. Focusing banker effort on this cohort delivers 6x the commercial return per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TAB 1 — PRIORITY LEAD LIST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A5C38" w:sz="8"/>
              <w:right w:val="none" w:color="FFFFFF" w:sz="0"/>
            </w:tcBorders>
            <w:shd w:fill="E8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7"/>
                <w:szCs w:val="17"/>
              </w:rPr>
              <w:t xml:space="preserve">Lead List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Score Distribution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Segment Insights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What it shows: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 ranked, filterable table of the highest-propensity customers — sorted by conversion likelihood and colour-coded by score intensity. The darkest green rows are the banker's first calls of the week.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Why it matters: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Bankers receive a concrete, prioritized contact list — removing guesswork from daily outreach planning. A one-click CSV download routes leads directly into CRM workflows.</w:t>
            </w: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0"/>
            </w:tblGrid>
            <w:tr>
              <w:tc>
                <w:tcPr>
                  <w:tcW w:type="dxa" w:w="43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DF6E3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6"/>
                      <w:szCs w:val="16"/>
                    </w:rPr>
                    <w:t xml:space="preserve">Sidebar Filters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Lead Tier:  A - High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Min Score:  0.50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Show top N leads:  100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Previously contacted: Optional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400"/>
              <w:gridCol w:w="900"/>
              <w:gridCol w:w="900"/>
              <w:gridCol w:w="1280"/>
              <w:gridCol w:w="1280"/>
            </w:tblGrid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Propensity Score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Lead Tier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Age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Cellular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Prev. Contact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Prev. Success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1A5C38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1.000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C38"/>
                      <w:sz w:val="17"/>
                      <w:szCs w:val="17"/>
                    </w:rPr>
                    <w:t xml:space="preserve">A - High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92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1F6E42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1.000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C38"/>
                      <w:sz w:val="17"/>
                      <w:szCs w:val="17"/>
                    </w:rPr>
                    <w:t xml:space="preserve">A - High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92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2E7D5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0.944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C38"/>
                      <w:sz w:val="17"/>
                      <w:szCs w:val="17"/>
                    </w:rPr>
                    <w:t xml:space="preserve">A - High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77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3A8A5E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0.944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C38"/>
                      <w:sz w:val="17"/>
                      <w:szCs w:val="17"/>
                    </w:rPr>
                    <w:t xml:space="preserve">A - High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84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4A9A6E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0.944</w:t>
                  </w:r>
                </w:p>
              </w:tc>
              <w:tc>
                <w:tcPr>
                  <w:tcW w:type="dxa" w:w="14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5C38"/>
                      <w:sz w:val="17"/>
                      <w:szCs w:val="17"/>
                    </w:rPr>
                    <w:t xml:space="preserve">A - High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85</w:t>
                  </w:r>
                </w:p>
              </w:tc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  <w:tc>
                <w:tcPr>
                  <w:tcW w:type="dxa" w:w="128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A"/>
                      <w:sz w:val="17"/>
                      <w:szCs w:val="17"/>
                    </w:rPr>
                    <w:t xml:space="preserve">Yes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4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Download Lead List as CSV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TAB 2 — SCORE DISTRIBUTION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Lead List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A5C38" w:sz="8"/>
              <w:right w:val="none" w:color="FFFFFF" w:sz="0"/>
            </w:tcBorders>
            <w:shd w:fill="E8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7"/>
                <w:szCs w:val="17"/>
              </w:rPr>
              <w:t xml:space="preserve">Score Distribution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Segment Insights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  <w:gridCol w:w="6560"/>
                    <w:gridCol w:w="400"/>
                    <w:gridCol w:w="60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80"/>
                          <w:right w:type="dxa" w:w="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C2C2A"/>
                            <w:sz w:val="18"/>
                            <w:szCs w:val="18"/>
                          </w:rPr>
                          <w:t xml:space="preserve">Conversion Rate by Lead Tier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A - High</w:t>
                        </w:r>
                      </w:p>
                    </w:tc>
                    <w:tc>
                      <w:tcPr>
                        <w:tcW w:type="dxa" w:w="58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3D24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D3D24"/>
                            <w:sz w:val="16"/>
                            <w:szCs w:val="16"/>
                          </w:rPr>
                          <w:t xml:space="preserve">72.2%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B - Medium</w:t>
                        </w:r>
                      </w:p>
                    </w:tc>
                    <w:tc>
                      <w:tcPr>
                        <w:tcW w:type="dxa" w:w="29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F9F27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EF9F27"/>
                            <w:sz w:val="16"/>
                            <w:szCs w:val="16"/>
                          </w:rPr>
                          <w:t xml:space="preserve">36.5%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C - Low</w:t>
                        </w:r>
                      </w:p>
                    </w:tc>
                    <w:tc>
                      <w:tcPr>
                        <w:tcW w:type="dxa" w:w="45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AAAAAA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AAAAAA"/>
                            <w:sz w:val="16"/>
                            <w:szCs w:val="16"/>
                          </w:rPr>
                          <w:t xml:space="preserve">5.7%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What it shows: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Score distribution across all 41,188 customers, visualized by tier — alongside a head-to-head conversion rate comparison by tier.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Why it matters: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The separation between Tier A (72%) and Tier C (5.7%) validates model discrimination power. Leadership can immediately see that the scoring engine creates genuine, actionable signal — not noise.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200"/>
              <w:gridCol w:w="1500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3D2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A - High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ED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3D24"/>
                      <w:sz w:val="15"/>
                      <w:szCs w:val="15"/>
                    </w:rPr>
                    <w:t xml:space="preserve">1,466 customers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ED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5"/>
                      <w:szCs w:val="15"/>
                    </w:rPr>
                    <w:t xml:space="preserve">72.2%</w:t>
                  </w:r>
                </w:p>
              </w:tc>
            </w:tr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9F27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B - Med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D6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4,261 customers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D6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2C2A"/>
                      <w:sz w:val="15"/>
                      <w:szCs w:val="15"/>
                    </w:rPr>
                    <w:t xml:space="preserve">36.5%</w:t>
                  </w:r>
                </w:p>
              </w:tc>
            </w:tr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88888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C - Low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C2C2A"/>
                      <w:sz w:val="15"/>
                      <w:szCs w:val="15"/>
                    </w:rPr>
                    <w:t xml:space="preserve">35,458 customers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4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5"/>
                      <w:szCs w:val="15"/>
                    </w:rPr>
                    <w:t xml:space="preserve">5.7%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5C38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A5C38"/>
          <w:spacing w:val="40"/>
          <w:sz w:val="19"/>
          <w:szCs w:val="19"/>
        </w:rPr>
        <w:t xml:space="preserve">TAB 3 — SEGMENT INSIGHTS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Lead List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Score Distribution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A5C38" w:sz="8"/>
              <w:right w:val="none" w:color="FFFFFF" w:sz="0"/>
            </w:tcBorders>
            <w:shd w:fill="E8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7"/>
                <w:szCs w:val="17"/>
              </w:rPr>
              <w:t xml:space="preserve">Segment Insights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What it shows: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Two diagnostic charts: conversion rate by customer job category, and the conversion signal from previous campaign success. Both are key inputs to campaign targeting strategy.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Why it matters: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Retired customers convert at 25% — over 2x the rate of most other segments. Customers with a prior successful campaign convert at 65%. These insights directly inform channel design, offer personalisation, and campaign prioritisation.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1A5C38" w:sz="14"/>
                    <w:bottom w:val="none" w:color="FFFFFF" w:sz="0"/>
                    <w:right w:val="none" w:color="FFFFFF" w:sz="0"/>
                  </w:tcBorders>
                  <w:shd w:fill="E8F4ED" w:val="clear"/>
                  <w:tcMar>
                    <w:top w:type="dxa" w:w="80"/>
                    <w:left w:type="dxa" w:w="180"/>
                    <w:bottom w:type="dxa" w:w="8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3D24"/>
                      <w:sz w:val="18"/>
                      <w:szCs w:val="18"/>
                    </w:rPr>
                    <w:t xml:space="preserve">Previous campaign success is the single strongest behavioural signal — converting at 65.1% vs 9.4% for customers with no prior success. Re-engagement of past subscribers is the highest-ROI action available.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C2C2A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  <w:gridCol w:w="6560"/>
                    <w:gridCol w:w="400"/>
                    <w:gridCol w:w="60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80"/>
                          <w:right w:type="dxa" w:w="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C2C2A"/>
                            <w:sz w:val="18"/>
                            <w:szCs w:val="18"/>
                          </w:rPr>
                          <w:t xml:space="preserve">Conversion Rate by Job Category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Retired</w:t>
                        </w:r>
                      </w:p>
                    </w:tc>
                    <w:tc>
                      <w:tcPr>
                        <w:tcW w:type="dxa" w:w="539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3D24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D3D24"/>
                            <w:sz w:val="16"/>
                            <w:szCs w:val="16"/>
                          </w:rPr>
                          <w:t xml:space="preserve">25%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Other</w:t>
                        </w:r>
                      </w:p>
                    </w:tc>
                    <w:tc>
                      <w:tcPr>
                        <w:tcW w:type="dxa" w:w="344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2E7D54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E7D54"/>
                            <w:sz w:val="16"/>
                            <w:szCs w:val="16"/>
                          </w:rPr>
                          <w:t xml:space="preserve">16%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White Collar</w:t>
                        </w:r>
                      </w:p>
                    </w:tc>
                    <w:tc>
                      <w:tcPr>
                        <w:tcW w:type="dxa" w:w="279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A8A5E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3A8A5E"/>
                            <w:sz w:val="16"/>
                            <w:szCs w:val="16"/>
                          </w:rPr>
                          <w:t xml:space="preserve">13%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Skilled</w:t>
                        </w:r>
                      </w:p>
                    </w:tc>
                    <w:tc>
                      <w:tcPr>
                        <w:tcW w:type="dxa" w:w="214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4A9A6E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4A9A6E"/>
                            <w:sz w:val="16"/>
                            <w:szCs w:val="16"/>
                          </w:rPr>
                          <w:t xml:space="preserve">10%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Self-Employed</w:t>
                        </w:r>
                      </w:p>
                    </w:tc>
                    <w:tc>
                      <w:tcPr>
                        <w:tcW w:type="dxa" w:w="19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AAE8A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6AAE8A"/>
                            <w:sz w:val="16"/>
                            <w:szCs w:val="16"/>
                          </w:rPr>
                          <w:t xml:space="preserve">9%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color w:val="555555"/>
                            <w:sz w:val="16"/>
                            <w:szCs w:val="16"/>
                          </w:rPr>
                          <w:t xml:space="preserve">Blue Collar</w:t>
                        </w:r>
                      </w:p>
                    </w:tc>
                    <w:tc>
                      <w:tcPr>
                        <w:tcW w:type="dxa" w:w="149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AAAAAA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0"/>
                        </w:tcMar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80"/>
                          <w:bottom w:type="dxa" w:w="40"/>
                          <w:right w:type="dxa" w:w="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AAAAAA"/>
                            <w:sz w:val="16"/>
                            <w:szCs w:val="16"/>
                          </w:rPr>
                          <w:t xml:space="preserve">7%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1A5C3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Retail Banking Lead Intelligence  ·  Project by Surya Nagula</w:t>
            </w:r>
          </w:p>
        </w:tc>
        <w:tc>
          <w:tcPr>
            <w:tcW w:type="dxa" w:w="3360"/>
            <w:tcBorders>
              <w:top w:val="single" w:color="1A5C3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Confidential  ·  Page 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480" w:hanging="280"/>
      </w:pPr>
      <w:rPr>
        <w:rFonts w:ascii="Arial" w:cs="Arial" w:eastAsia="Arial" w:hAnsi="Arial"/>
        <w:color w:val="1A5C3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2026-05-06T01:49:53.216Z</dcterms:created>
  <dcterms:modified xsi:type="dcterms:W3CDTF">2026-05-06T01:49:53.234Z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