
<file path=[Content_Types].xml><?xml version="1.0" encoding="utf-8"?>
<Types xmlns="http://schemas.openxmlformats.org/package/2006/content-types">
  <Default Extension="jp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document"/>
      </w:pPr>
      <w:r>
        <w:t>A CPU-Scale Conversational Music Recommender: Fused Retrieval and Learned Ranking for the TalkPlayData Challenge</w:t>
      </w:r>
    </w:p>
    <w:p>
      <w:pPr>
        <w:pStyle w:val="Authors"/>
      </w:pPr>
      <w:r>
        <w:t>FirstName Surname; FirstName Surname; FirstName Surname</w:t>
      </w:r>
    </w:p>
    <w:p>
      <w:pPr>
        <w:pStyle w:val="Affiliation"/>
      </w:pPr>
      <w:r>
        <w:t>Department Name, Institution/University Name, City, State, Country</w:t>
      </w:r>
    </w:p>
    <w:p>
      <w:pPr>
        <w:pStyle w:val="AbsHead"/>
      </w:pPr>
      <w:r>
        <w:t>ABSTRACT</w:t>
      </w:r>
    </w:p>
    <w:p>
      <w:pPr>
        <w:pStyle w:val="Abstract"/>
      </w:pPr>
      <w:r>
        <w:t>We present a conversational music recommender for the TalkPlayData Challenge (ACM RecSys 2026) that, at each dialogue turn, ranks tracks from a 47,071-track catalog and generates the assistant response, and that trains and serves entirely on a single consumer desktop with no discrete GPU. Retrieval is a union of nine inexpensive sources whose candidates are arbitrated by a gradient-boosted learning-to-rank model over 67 features; the strongest feature is simply how many sources agree on a candidate. The only trained neural component is a LoRA adaptation of a 279M-parameter multilingual encoder over a role-tagged dialogue anchor. Our central finding is that the dataset's goal-progress feedback signal is both misaligned in time and contaminated with user-rejected tracks, that fixing it is the highest-value step in the project, and that the same signal can be reconstructed from raw dialogue when it is withheld at test time. The system reaches a composite score of 0.49 on the blind generalization set.</w:t>
      </w:r>
    </w:p>
    <w:p>
      <w:pPr>
        <w:pStyle w:val="CCSHead"/>
      </w:pPr>
      <w:r>
        <w:t>CCS CONCEPTS</w:t>
      </w:r>
    </w:p>
    <w:p>
      <w:pPr>
        <w:pStyle w:val="CCSDescription"/>
      </w:pPr>
      <w:r>
        <w:t>Information systems -&gt; Recommender systems; Learning to rank; Language models.</w:t>
      </w:r>
    </w:p>
    <w:p>
      <w:pPr>
        <w:pStyle w:val="KeyWordHead"/>
      </w:pPr>
      <w:r>
        <w:t>KEYWORDS</w:t>
      </w:r>
    </w:p>
    <w:p>
      <w:pPr>
        <w:pStyle w:val="KeyWords"/>
      </w:pPr>
      <w:r>
        <w:t>conversational recommendation, music recommendation, learning to rank, dense retrieval, LoRA fine-tuning, preference elicitation, CPU-scale systems</w:t>
      </w:r>
    </w:p>
    <w:p>
      <w:pPr>
        <w:pStyle w:val="Head1"/>
      </w:pPr>
      <w:r>
        <w:t>1 Introduction</w:t>
      </w:r>
    </w:p>
    <w:p>
      <w:pPr>
        <w:pStyle w:val="Para"/>
      </w:pPr>
      <w:r>
        <w:t>The TalkPlayData Challenge frames music recommendation as a multi-turn dialogue. At each turn the system must (a) rank 20 tracks from a catalog of 47,071 so that the single logged next track ranks high, and (b) produce the assistant's reply. Submissions are scored by a composite metric:</w:t>
      </w:r>
    </w:p>
    <w:p>
      <w:pPr>
        <w:pStyle w:val="Quote"/>
      </w:pPr>
      <w:r>
        <w:t>Score = 0.50 * nDCG@20 + 0.10 * CatalogDiversity + 0.10 * LexicalDiversity + 0.30 * JudgeNorm,</w:t>
      </w:r>
    </w:p>
    <w:p>
      <w:pPr>
        <w:pStyle w:val="Quote"/>
      </w:pPr>
      <w:r>
        <w:t>JudgeNorm = (judge_score - 1) / 4.</w:t>
      </w:r>
    </w:p>
    <w:p>
      <w:pPr>
        <w:pStyle w:val="Para"/>
      </w:pPr>
      <w:r>
        <w:t>The judge is a language model that reads only the response text (personalization and explanation quality); it never sees the track list. The blind generalization set ("Blind B") is harder than the labeled data: the conversation goal, the per-turn goal-progress assessments, and the model's internal thoughts are removed, and half of its 80 sessions are cold-start with no user profile.</w:t>
      </w:r>
    </w:p>
    <w:p>
      <w:pPr>
        <w:pStyle w:val="Para"/>
      </w:pPr>
      <w:r>
        <w:t xml:space="preserve">Our system has three stages. </w:t>
      </w:r>
      <w:r>
        <w:rPr>
          <w:i/>
        </w:rPr>
        <w:t>Recall</w:t>
      </w:r>
      <w:r>
        <w:t xml:space="preserve"> runs nine retrievers per turn and merges their outputs into one deduplicated pool (mean ~3,100 candidates); no single source exceeds ~59% gold recall at 500 candidates, but the fused pool reaches ~89% on the blind-simulated holdout. </w:t>
      </w:r>
      <w:r>
        <w:rPr>
          <w:i/>
        </w:rPr>
        <w:t>Rescore</w:t>
      </w:r>
      <w:r>
        <w:t xml:space="preserve"> is a LightGBM LambdaMART model that scores every candidate from 67 features and emits the top 20, replacing hand-tuned score fusion. </w:t>
      </w:r>
      <w:r>
        <w:rPr>
          <w:i/>
        </w:rPr>
        <w:t>Respond</w:t>
      </w:r>
      <w:r>
        <w:t xml:space="preserve"> is decoupled: because the judge reads only text, the response may describe the ranked list but never reorders it. All three stages run on one Apple M4 machine (16 GB unified memory, no GPU), and the only trained neural component is the LoRA encoder of Section 3.</w:t>
      </w:r>
    </w:p>
    <w:p>
      <w:pPr>
        <w:pStyle w:val="Para"/>
      </w:pPr>
      <w:r>
        <w:rPr>
          <w:b/>
        </w:rPr>
        <w:t>Contributions.</w:t>
      </w:r>
      <w:r>
        <w:t xml:space="preserve"> (1) A recall design that treats retrieval as </w:t>
      </w:r>
      <w:r>
        <w:rPr>
          <w:i/>
        </w:rPr>
        <w:t>set union, not weighted fusion</w:t>
      </w:r>
      <w:r>
        <w:t xml:space="preserve">: each source contributes candidates and per-source features, and a learned ranker decides how far to trust each; multi-source agreement is the single strongest feature. (2) A dialogue-aware retriever: a LoRA fine-tune of </w:t>
      </w:r>
      <w:r>
        <w:rPr>
          <w:rFonts w:ascii="Courier New" w:hAnsi="Courier New"/>
        </w:rPr>
        <w:t>multilingual-e5-base</w:t>
      </w:r>
      <w:r>
        <w:t xml:space="preserve"> over a role-tagged anchor encoding prior turns, recommendations, and per-turn reactions. (3) A treatment of the goal-progress feedback signal that is off-by-one in time and contaminated with rejected tracks, plus a test-time reconstruction of that signal from raw dialogue.</w:t>
      </w:r>
    </w:p>
    <w:p>
      <w:pPr>
        <w:pStyle w:val="Head1"/>
      </w:pPr>
      <w:r>
        <w:t>2 Recall Architecture</w:t>
      </w:r>
    </w:p>
    <w:p>
      <w:pPr>
        <w:pStyle w:val="Para"/>
      </w:pPr>
      <w:r>
        <w:t xml:space="preserve">Recall is a union of nine retrievers (Table 1). Each candidate carries the per-source scores and origin flags that later become ranker features. The design rule is to </w:t>
      </w:r>
      <w:r>
        <w:rPr>
          <w:i/>
        </w:rPr>
        <w:t>add candidates, never re-weight sources by hand</w:t>
      </w:r>
      <w:r>
        <w:t>: even low-precision sources help, because source membership feeds the agreement feature of Section 4.</w:t>
      </w:r>
    </w:p>
    <w:p>
      <w:pPr>
        <w:pStyle w:val="TableCaption"/>
      </w:pPr>
      <w:r>
        <w:t>Table 1: The nine recall sources.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
              <w:rPr>
                <w:b/>
                <w:sz w:val="18"/>
              </w:rPr>
              <w:t>#</w:t>
            </w:r>
          </w:p>
        </w:tc>
        <w:tc>
          <w:tcPr>
            <w:tcW w:type="dxa" w:w="2520"/>
          </w:tcPr>
          <w:p>
            <w:r/>
            <w:r>
              <w:rPr>
                <w:b/>
                <w:sz w:val="18"/>
              </w:rPr>
              <w:t>Source</w:t>
            </w:r>
          </w:p>
        </w:tc>
        <w:tc>
          <w:tcPr>
            <w:tcW w:type="dxa" w:w="2520"/>
          </w:tcPr>
          <w:p>
            <w:r/>
            <w:r>
              <w:rPr>
                <w:b/>
                <w:sz w:val="18"/>
              </w:rPr>
              <w:t>Budget</w:t>
            </w:r>
          </w:p>
        </w:tc>
        <w:tc>
          <w:tcPr>
            <w:tcW w:type="dxa" w:w="2520"/>
          </w:tcPr>
          <w:p>
            <w:r/>
            <w:r>
              <w:rPr>
                <w:b/>
                <w:sz w:val="18"/>
              </w:rPr>
              <w:t>Signal</w:t>
            </w:r>
          </w:p>
        </w:tc>
      </w:tr>
      <w:tr>
        <w:tc>
          <w:tcPr>
            <w:tcW w:type="dxa" w:w="2520"/>
          </w:tcPr>
          <w:p>
            <w:r>
              <w:rPr>
                <w:sz w:val="18"/>
              </w:rPr>
            </w:r>
            <w:r>
              <w:rPr>
                <w:sz w:val="18"/>
              </w:rPr>
              <w:t>1</w:t>
            </w:r>
          </w:p>
        </w:tc>
        <w:tc>
          <w:tcPr>
            <w:tcW w:type="dxa" w:w="2520"/>
          </w:tcPr>
          <w:p>
            <w:r>
              <w:rPr>
                <w:sz w:val="18"/>
              </w:rPr>
            </w:r>
            <w:r>
              <w:rPr>
                <w:sz w:val="18"/>
              </w:rPr>
              <w:t>BM25 (Okapi)</w:t>
            </w:r>
          </w:p>
        </w:tc>
        <w:tc>
          <w:tcPr>
            <w:tcW w:type="dxa" w:w="2520"/>
          </w:tcPr>
          <w:p>
            <w:r>
              <w:rPr>
                <w:sz w:val="18"/>
              </w:rPr>
            </w:r>
            <w:r>
              <w:rPr>
                <w:sz w:val="18"/>
              </w:rPr>
              <w:t>top-500</w:t>
            </w:r>
          </w:p>
        </w:tc>
        <w:tc>
          <w:tcPr>
            <w:tcW w:type="dxa" w:w="2520"/>
          </w:tcPr>
          <w:p>
            <w:r>
              <w:rPr>
                <w:sz w:val="18"/>
              </w:rPr>
            </w:r>
            <w:r>
              <w:rPr>
                <w:sz w:val="18"/>
              </w:rPr>
              <w:t>lexical match on name/artist/album/tags</w:t>
            </w:r>
          </w:p>
        </w:tc>
      </w:tr>
      <w:tr>
        <w:tc>
          <w:tcPr>
            <w:tcW w:type="dxa" w:w="2520"/>
          </w:tcPr>
          <w:p>
            <w:r>
              <w:rPr>
                <w:sz w:val="18"/>
              </w:rPr>
            </w:r>
            <w:r>
              <w:rPr>
                <w:sz w:val="18"/>
              </w:rPr>
              <w:t>2</w:t>
            </w:r>
          </w:p>
        </w:tc>
        <w:tc>
          <w:tcPr>
            <w:tcW w:type="dxa" w:w="2520"/>
          </w:tcPr>
          <w:p>
            <w:r>
              <w:rPr>
                <w:sz w:val="18"/>
              </w:rPr>
            </w:r>
            <w:r>
              <w:rPr>
                <w:sz w:val="18"/>
              </w:rPr>
              <w:t>Two-tower ANN</w:t>
            </w:r>
          </w:p>
        </w:tc>
        <w:tc>
          <w:tcPr>
            <w:tcW w:type="dxa" w:w="2520"/>
          </w:tcPr>
          <w:p>
            <w:r>
              <w:rPr>
                <w:sz w:val="18"/>
              </w:rPr>
            </w:r>
            <w:r>
              <w:rPr>
                <w:sz w:val="18"/>
              </w:rPr>
              <w:t>top-2000</w:t>
            </w:r>
          </w:p>
        </w:tc>
        <w:tc>
          <w:tcPr>
            <w:tcW w:type="dxa" w:w="2520"/>
          </w:tcPr>
          <w:p>
            <w:r>
              <w:rPr>
                <w:sz w:val="18"/>
              </w:rPr>
            </w:r>
            <w:r>
              <w:rPr>
                <w:sz w:val="18"/>
              </w:rPr>
              <w:t>fine-tuned conversational-intent match</w:t>
            </w:r>
          </w:p>
        </w:tc>
      </w:tr>
      <w:tr>
        <w:tc>
          <w:tcPr>
            <w:tcW w:type="dxa" w:w="2520"/>
          </w:tcPr>
          <w:p>
            <w:r>
              <w:rPr>
                <w:sz w:val="18"/>
              </w:rPr>
            </w:r>
            <w:r>
              <w:rPr>
                <w:sz w:val="18"/>
              </w:rPr>
              <w:t>3</w:t>
            </w:r>
          </w:p>
        </w:tc>
        <w:tc>
          <w:tcPr>
            <w:tcW w:type="dxa" w:w="2520"/>
          </w:tcPr>
          <w:p>
            <w:r>
              <w:rPr>
                <w:sz w:val="18"/>
              </w:rPr>
            </w:r>
            <w:r>
              <w:rPr>
                <w:sz w:val="18"/>
              </w:rPr>
              <w:t>Last-track NN</w:t>
            </w:r>
          </w:p>
        </w:tc>
        <w:tc>
          <w:tcPr>
            <w:tcW w:type="dxa" w:w="2520"/>
          </w:tcPr>
          <w:p>
            <w:r>
              <w:rPr>
                <w:sz w:val="18"/>
              </w:rPr>
            </w:r>
            <w:r>
              <w:rPr>
                <w:sz w:val="18"/>
              </w:rPr>
              <w:t>100 x last 2</w:t>
            </w:r>
          </w:p>
        </w:tc>
        <w:tc>
          <w:tcPr>
            <w:tcW w:type="dxa" w:w="2520"/>
          </w:tcPr>
          <w:p>
            <w:r>
              <w:rPr>
                <w:sz w:val="18"/>
              </w:rPr>
            </w:r>
            <w:r>
              <w:rPr>
                <w:sz w:val="18"/>
              </w:rPr>
              <w:t>"more like what just played"</w:t>
            </w:r>
          </w:p>
        </w:tc>
      </w:tr>
      <w:tr>
        <w:tc>
          <w:tcPr>
            <w:tcW w:type="dxa" w:w="2520"/>
          </w:tcPr>
          <w:p>
            <w:r>
              <w:rPr>
                <w:sz w:val="18"/>
              </w:rPr>
            </w:r>
            <w:r>
              <w:rPr>
                <w:sz w:val="18"/>
              </w:rPr>
              <w:t>4</w:t>
            </w:r>
          </w:p>
        </w:tc>
        <w:tc>
          <w:tcPr>
            <w:tcW w:type="dxa" w:w="2520"/>
          </w:tcPr>
          <w:p>
            <w:r>
              <w:rPr>
                <w:sz w:val="18"/>
              </w:rPr>
            </w:r>
            <w:r>
              <w:rPr>
                <w:sz w:val="18"/>
              </w:rPr>
              <w:t>Artist expansion</w:t>
            </w:r>
          </w:p>
        </w:tc>
        <w:tc>
          <w:tcPr>
            <w:tcW w:type="dxa" w:w="2520"/>
          </w:tcPr>
          <w:p>
            <w:r>
              <w:rPr>
                <w:sz w:val="18"/>
              </w:rPr>
            </w:r>
            <w:r>
              <w:rPr>
                <w:sz w:val="18"/>
              </w:rPr>
              <w:t>discographies</w:t>
            </w:r>
          </w:p>
        </w:tc>
        <w:tc>
          <w:tcPr>
            <w:tcW w:type="dxa" w:w="2520"/>
          </w:tcPr>
          <w:p>
            <w:r>
              <w:rPr>
                <w:sz w:val="18"/>
              </w:rPr>
            </w:r>
            <w:r>
              <w:rPr>
                <w:sz w:val="18"/>
              </w:rPr>
              <w:t>tracks by any retrieved/mentioned artist</w:t>
            </w:r>
          </w:p>
        </w:tc>
      </w:tr>
      <w:tr>
        <w:tc>
          <w:tcPr>
            <w:tcW w:type="dxa" w:w="2520"/>
          </w:tcPr>
          <w:p>
            <w:r>
              <w:rPr>
                <w:sz w:val="18"/>
              </w:rPr>
            </w:r>
            <w:r>
              <w:rPr>
                <w:sz w:val="18"/>
              </w:rPr>
              <w:t>5</w:t>
            </w:r>
          </w:p>
        </w:tc>
        <w:tc>
          <w:tcPr>
            <w:tcW w:type="dxa" w:w="2520"/>
          </w:tcPr>
          <w:p>
            <w:r>
              <w:rPr>
                <w:sz w:val="18"/>
              </w:rPr>
            </w:r>
            <w:r>
              <w:rPr>
                <w:sz w:val="18"/>
              </w:rPr>
              <w:t>Qwen3-0.6B NN</w:t>
            </w:r>
          </w:p>
        </w:tc>
        <w:tc>
          <w:tcPr>
            <w:tcW w:type="dxa" w:w="2520"/>
          </w:tcPr>
          <w:p>
            <w:r>
              <w:rPr>
                <w:sz w:val="18"/>
              </w:rPr>
            </w:r>
            <w:r>
              <w:rPr>
                <w:sz w:val="18"/>
              </w:rPr>
              <w:t>top-500</w:t>
            </w:r>
          </w:p>
        </w:tc>
        <w:tc>
          <w:tcPr>
            <w:tcW w:type="dxa" w:w="2520"/>
          </w:tcPr>
          <w:p>
            <w:r>
              <w:rPr>
                <w:sz w:val="18"/>
              </w:rPr>
            </w:r>
            <w:r>
              <w:rPr>
                <w:sz w:val="18"/>
              </w:rPr>
              <w:t>second dense opinion, different space</w:t>
            </w:r>
          </w:p>
        </w:tc>
      </w:tr>
      <w:tr>
        <w:tc>
          <w:tcPr>
            <w:tcW w:type="dxa" w:w="2520"/>
          </w:tcPr>
          <w:p>
            <w:r>
              <w:rPr>
                <w:sz w:val="18"/>
              </w:rPr>
            </w:r>
            <w:r>
              <w:rPr>
                <w:sz w:val="18"/>
              </w:rPr>
              <w:t>6</w:t>
            </w:r>
          </w:p>
        </w:tc>
        <w:tc>
          <w:tcPr>
            <w:tcW w:type="dxa" w:w="2520"/>
          </w:tcPr>
          <w:p>
            <w:r>
              <w:rPr>
                <w:sz w:val="18"/>
              </w:rPr>
            </w:r>
            <w:r>
              <w:rPr>
                <w:sz w:val="18"/>
              </w:rPr>
              <w:t>CF-BPR</w:t>
            </w:r>
          </w:p>
        </w:tc>
        <w:tc>
          <w:tcPr>
            <w:tcW w:type="dxa" w:w="2520"/>
          </w:tcPr>
          <w:p>
            <w:r>
              <w:rPr>
                <w:sz w:val="18"/>
              </w:rPr>
            </w:r>
            <w:r>
              <w:rPr>
                <w:sz w:val="18"/>
              </w:rPr>
              <w:t>top-200</w:t>
            </w:r>
          </w:p>
        </w:tc>
        <w:tc>
          <w:tcPr>
            <w:tcW w:type="dxa" w:w="2520"/>
          </w:tcPr>
          <w:p>
            <w:r>
              <w:rPr>
                <w:sz w:val="18"/>
              </w:rPr>
            </w:r>
            <w:r>
              <w:rPr>
                <w:sz w:val="18"/>
              </w:rPr>
              <w:t>collaborative signal, warm users only</w:t>
            </w:r>
          </w:p>
        </w:tc>
      </w:tr>
      <w:tr>
        <w:tc>
          <w:tcPr>
            <w:tcW w:type="dxa" w:w="2520"/>
          </w:tcPr>
          <w:p>
            <w:r>
              <w:rPr>
                <w:sz w:val="18"/>
              </w:rPr>
            </w:r>
            <w:r>
              <w:rPr>
                <w:sz w:val="18"/>
              </w:rPr>
              <w:t>7</w:t>
            </w:r>
          </w:p>
        </w:tc>
        <w:tc>
          <w:tcPr>
            <w:tcW w:type="dxa" w:w="2520"/>
          </w:tcPr>
          <w:p>
            <w:r>
              <w:rPr>
                <w:sz w:val="18"/>
              </w:rPr>
            </w:r>
            <w:r>
              <w:rPr>
                <w:sz w:val="18"/>
              </w:rPr>
              <w:t>Session-mean NN</w:t>
            </w:r>
          </w:p>
        </w:tc>
        <w:tc>
          <w:tcPr>
            <w:tcW w:type="dxa" w:w="2520"/>
          </w:tcPr>
          <w:p>
            <w:r>
              <w:rPr>
                <w:sz w:val="18"/>
              </w:rPr>
            </w:r>
            <w:r>
              <w:rPr>
                <w:sz w:val="18"/>
              </w:rPr>
              <w:t>top-100</w:t>
            </w:r>
          </w:p>
        </w:tc>
        <w:tc>
          <w:tcPr>
            <w:tcW w:type="dxa" w:w="2520"/>
          </w:tcPr>
          <w:p>
            <w:r>
              <w:rPr>
                <w:sz w:val="18"/>
              </w:rPr>
            </w:r>
            <w:r>
              <w:rPr>
                <w:sz w:val="18"/>
              </w:rPr>
              <w:t>neighbors of the session taste centroid</w:t>
            </w:r>
          </w:p>
        </w:tc>
      </w:tr>
      <w:tr>
        <w:tc>
          <w:tcPr>
            <w:tcW w:type="dxa" w:w="2520"/>
          </w:tcPr>
          <w:p>
            <w:r>
              <w:rPr>
                <w:sz w:val="18"/>
              </w:rPr>
            </w:r>
            <w:r>
              <w:rPr>
                <w:sz w:val="18"/>
              </w:rPr>
              <w:t>8</w:t>
            </w:r>
          </w:p>
        </w:tc>
        <w:tc>
          <w:tcPr>
            <w:tcW w:type="dxa" w:w="2520"/>
          </w:tcPr>
          <w:p>
            <w:r>
              <w:rPr>
                <w:sz w:val="18"/>
              </w:rPr>
            </w:r>
            <w:r>
              <w:rPr>
                <w:sz w:val="18"/>
              </w:rPr>
              <w:t>Co-occurrence</w:t>
            </w:r>
          </w:p>
        </w:tc>
        <w:tc>
          <w:tcPr>
            <w:tcW w:type="dxa" w:w="2520"/>
          </w:tcPr>
          <w:p>
            <w:r>
              <w:rPr>
                <w:sz w:val="18"/>
              </w:rPr>
            </w:r>
            <w:r>
              <w:rPr>
                <w:sz w:val="18"/>
              </w:rPr>
              <w:t>300/150/50</w:t>
            </w:r>
          </w:p>
        </w:tc>
        <w:tc>
          <w:tcPr>
            <w:tcW w:type="dxa" w:w="2520"/>
          </w:tcPr>
          <w:p>
            <w:r>
              <w:rPr>
                <w:sz w:val="18"/>
              </w:rPr>
            </w:r>
            <w:r>
              <w:rPr>
                <w:sz w:val="18"/>
              </w:rPr>
              <w:t>tracks that followed recent history</w:t>
            </w:r>
          </w:p>
        </w:tc>
      </w:tr>
      <w:tr>
        <w:tc>
          <w:tcPr>
            <w:tcW w:type="dxa" w:w="2520"/>
          </w:tcPr>
          <w:p>
            <w:r>
              <w:rPr>
                <w:sz w:val="18"/>
              </w:rPr>
            </w:r>
            <w:r>
              <w:rPr>
                <w:sz w:val="18"/>
              </w:rPr>
              <w:t>9</w:t>
            </w:r>
          </w:p>
        </w:tc>
        <w:tc>
          <w:tcPr>
            <w:tcW w:type="dxa" w:w="2520"/>
          </w:tcPr>
          <w:p>
            <w:r>
              <w:rPr>
                <w:sz w:val="18"/>
              </w:rPr>
            </w:r>
            <w:r>
              <w:rPr>
                <w:sz w:val="18"/>
              </w:rPr>
              <w:t>SASRec buckets</w:t>
            </w:r>
          </w:p>
        </w:tc>
        <w:tc>
          <w:tcPr>
            <w:tcW w:type="dxa" w:w="2520"/>
          </w:tcPr>
          <w:p>
            <w:r>
              <w:rPr>
                <w:sz w:val="18"/>
              </w:rPr>
            </w:r>
            <w:r>
              <w:rPr>
                <w:sz w:val="18"/>
              </w:rPr>
              <w:t>cap 300</w:t>
            </w:r>
          </w:p>
        </w:tc>
        <w:tc>
          <w:tcPr>
            <w:tcW w:type="dxa" w:w="2520"/>
          </w:tcPr>
          <w:p>
            <w:r>
              <w:rPr>
                <w:sz w:val="18"/>
              </w:rPr>
            </w:r>
            <w:r>
              <w:rPr>
                <w:sz w:val="18"/>
              </w:rPr>
              <w:t>next semantic-bucket expansion (optional)</w:t>
            </w:r>
          </w:p>
        </w:tc>
      </w:tr>
    </w:tbl>
    <w:p>
      <w:pPr>
        <w:pStyle w:val="Para"/>
      </w:pPr>
      <w:r>
        <w:rPr>
          <w:i/>
        </w:rPr>
        <w:t>Lexical (source 1).</w:t>
      </w:r>
      <w:r>
        <w:t xml:space="preserve"> BM25 (via </w:t>
      </w:r>
      <w:r>
        <w:rPr>
          <w:rFonts w:ascii="Courier New" w:hAnsi="Courier New"/>
        </w:rPr>
        <w:t>bm25s</w:t>
      </w:r>
      <w:r>
        <w:t>) indexes each track's name, artist, album, and tag list; indexing the tags matters because conversational requests use genre/mood/era vocabulary that only tags carry. The query is the latest user message plus the goal, culture, last four played tracks, and last four turns; older turns are excluded because they dilute the current request's IDF mass.</w:t>
      </w:r>
    </w:p>
    <w:p>
      <w:pPr>
        <w:pStyle w:val="Para"/>
      </w:pPr>
      <w:r>
        <w:rPr>
          <w:i/>
        </w:rPr>
        <w:t>Dense (sources 2, 5).</w:t>
      </w:r>
      <w:r>
        <w:t xml:space="preserve"> Two independent dense retrievers give complementary spaces. Source 2 is our fine-tuned two-tower encoder (Section 3): the dialogue anchor is encoded once and matched against a precomputed 47,071 x 768 L2-normalized matrix by exact brute-force matmul (top-2000); at this catalog size an approximate index is unnecessary and only loses recall. Source 5 is the competition-provided </w:t>
      </w:r>
      <w:r>
        <w:rPr>
          <w:rFonts w:ascii="Courier New" w:hAnsi="Courier New"/>
        </w:rPr>
        <w:t>Qwen3-Embedding-0.6B</w:t>
      </w:r>
      <w:r>
        <w:t xml:space="preserve"> metadata embedding, whose different pretraining recovers gold tracks the two-tower misses; both cosines become ranker features.</w:t>
      </w:r>
    </w:p>
    <w:p>
      <w:pPr>
        <w:pStyle w:val="Para"/>
      </w:pPr>
      <w:r>
        <w:rPr>
          <w:i/>
        </w:rPr>
        <w:t>Neighborhood (sources 3, 7).</w:t>
      </w:r>
      <w:r>
        <w:t xml:space="preserve"> Query-side retrieval is complemented by expansion around the history: the nearest neighbors of the last two played tracks (source 3) and of the mean two-tower embedding of the session's history, the taste centroid (source 7). Both are cheap matmuls against the same matrix; rejected history tracks are filtered from these seeds first (Section 3.3).</w:t>
      </w:r>
    </w:p>
    <w:p>
      <w:pPr>
        <w:pStyle w:val="Para"/>
      </w:pPr>
      <w:r>
        <w:rPr>
          <w:i/>
        </w:rPr>
        <w:t>Catalog structure (sources 4, 8, 9).</w:t>
      </w:r>
      <w:r>
        <w:t xml:space="preserve"> Artist expansion (source 4) is a dictionary lookup that adds the full, popularity-capped discography of every retrieved or mentioned artist; it is the cheapest high-recall source and matters because sessions are often artist deep-dives. Co-occurrence (source 8) is a count table of tracks that most often followed the last one/two/three history tracks in training sessions. Semantic-bucket expansion (source 9) is an optional auxiliary: an RQ-VAE assigns each track a semantic ID and a small SASRec predicts the next bucket, but next-bucket prediction has a low ceiling (hit@3 = 42.1%), so an eight-source configuration without it reaches parity.</w:t>
      </w:r>
    </w:p>
    <w:p>
      <w:pPr>
        <w:pStyle w:val="Para"/>
      </w:pPr>
      <w:r>
        <w:rPr>
          <w:i/>
        </w:rPr>
        <w:t>Collaborative (source 6).</w:t>
      </w:r>
      <w:r>
        <w:t xml:space="preserve"> A BPR matrix-factorization model adds each warm user's top-200 tracks; cold sessions simply receive nothing from this source and the pipeline degrades gracefully.</w:t>
      </w:r>
    </w:p>
    <w:p>
      <w:pPr>
        <w:pStyle w:val="Head1"/>
      </w:pPr>
      <w:r>
        <w:t>3 Dialogue-Aware Retriever</w:t>
      </w:r>
    </w:p>
    <w:p>
      <w:pPr>
        <w:pStyle w:val="Para"/>
      </w:pPr>
      <w:r>
        <w:t>Off-the-shelf dense retrieval failed here: conversational queries do not embed near track-metadata text in general-purpose spaces, so dense recall requires fine-tuning on (dialogue, gold-track) pairs.</w:t>
      </w:r>
    </w:p>
    <w:p>
      <w:pPr>
        <w:pStyle w:val="Head2"/>
      </w:pPr>
      <w:r>
        <w:t>3.1 Model and anchor</w:t>
      </w:r>
    </w:p>
    <w:p>
      <w:pPr>
        <w:pStyle w:val="Para"/>
      </w:pPr>
      <w:r>
        <w:t xml:space="preserve">The base encoder is </w:t>
      </w:r>
      <w:r>
        <w:rPr>
          <w:rFonts w:ascii="Courier New" w:hAnsi="Courier New"/>
        </w:rPr>
        <w:t>intfloat/multilingual-e5-base</w:t>
      </w:r>
      <w:r>
        <w:t xml:space="preserve"> (XLM-RoBERTa, 768-dim, 512-token window, 279M parameters), chosen for its context length (an earlier 256-token model truncated the user's request on 81% of anchors). We fine-tune with LoRA (rank 32, alpha 64) on the query/key/value projections: 1.8M trainable parameters, 0.64% of the model; full fine-tuning does not fit in 16 GB, LoRA plus gradient checkpointing does. The query anchor is </w:t>
      </w:r>
      <w:r>
        <w:rPr>
          <w:i/>
        </w:rPr>
        <w:t>role-tagged</w:t>
      </w:r>
      <w:r>
        <w:t xml:space="preserve"> so the encoder sees dialogue structure:</w:t>
      </w:r>
    </w:p>
    <w:p>
      <w:pPr>
        <w:pStyle w:val="programCodedisplay"/>
      </w:pPr>
      <w:r>
        <w:rPr>
          <w:rFonts w:ascii="Courier New" w:hAnsi="Courier New"/>
          <w:sz w:val="18"/>
        </w:rPr>
        <w:t>query: [PROFILE] {age}.{country}.{gender}.{culture} [GOAL] {goal}</w:t>
      </w:r>
    </w:p>
    <w:p>
      <w:pPr>
        <w:pStyle w:val="programCodedisplay"/>
      </w:pPr>
      <w:r>
        <w:rPr>
          <w:rFonts w:ascii="Courier New" w:hAnsi="Courier New"/>
          <w:sz w:val="18"/>
        </w:rPr>
        <w:t>[T1] USER:{q1} | REC:{track-artist} | ASST:{r1} | REACTION:liked/rejected</w:t>
      </w:r>
    </w:p>
    <w:p>
      <w:pPr>
        <w:pStyle w:val="programCodedisplay"/>
      </w:pPr>
      <w:r>
        <w:rPr>
          <w:rFonts w:ascii="Courier New" w:hAnsi="Courier New"/>
          <w:sz w:val="18"/>
        </w:rPr>
        <w:t>... [NOW] USER:{current request}</w:t>
      </w:r>
    </w:p>
    <w:p>
      <w:pPr>
        <w:pStyle w:val="Para"/>
      </w:pPr>
      <w:r>
        <w:t xml:space="preserve">A tokenizer-aware greedy builder always keeps a fixed core (profile, goal, latest request) and inserts history turns most-recent-first within a 510-token budget; the current request can never be truncated. Documents use the symmetric form </w:t>
      </w:r>
      <w:r>
        <w:rPr>
          <w:rFonts w:ascii="Courier New" w:hAnsi="Courier New"/>
        </w:rPr>
        <w:t>passage: {name} by {artist} | Album: {album} | Tags: {tags} | {year}</w:t>
      </w:r>
      <w:r>
        <w:t xml:space="preserve">, with the E5 </w:t>
      </w:r>
      <w:r>
        <w:rPr>
          <w:rFonts w:ascii="Courier New" w:hAnsi="Courier New"/>
        </w:rPr>
        <w:t>query:</w:t>
      </w:r>
      <w:r>
        <w:t>/</w:t>
      </w:r>
      <w:r>
        <w:rPr>
          <w:rFonts w:ascii="Courier New" w:hAnsi="Courier New"/>
        </w:rPr>
        <w:t>passage:</w:t>
      </w:r>
      <w:r>
        <w:t xml:space="preserve"> prefixes identical across training, index build, and inference.</w:t>
      </w:r>
    </w:p>
    <w:p>
      <w:pPr>
        <w:pStyle w:val="Head2"/>
      </w:pPr>
      <w:r>
        <w:t>3.2 Training and serving</w:t>
      </w:r>
    </w:p>
    <w:p>
      <w:pPr>
        <w:pStyle w:val="Para"/>
      </w:pPr>
      <w:r>
        <w:t>We train with MultipleNegativesRankingLoss (InfoNCE with in-batch negatives) plus two to three explicit hard negatives per row (Section 3.3): 3 epochs, effective batch 32, learning rate 1e-4. Training uses ~74K anchor/positive pairs, excluding the 6,000 sessions reserved for the ranker's feature dump. At serving time we ship a 7 MB LoRA adapter applied to the cached base encoder, and query a one-pass 47,071 x 768 track index by brute-force matmul.</w:t>
      </w:r>
    </w:p>
    <w:p>
      <w:pPr>
        <w:pStyle w:val="Head2"/>
      </w:pPr>
      <w:r>
        <w:t>3.3 Using the goal-progress feedback signal</w:t>
      </w:r>
    </w:p>
    <w:p>
      <w:pPr>
        <w:pStyle w:val="Para"/>
      </w:pPr>
      <w:r>
        <w:t xml:space="preserve">Each training turn carries a </w:t>
      </w:r>
      <w:r>
        <w:rPr>
          <w:rFonts w:ascii="Courier New" w:hAnsi="Courier New"/>
        </w:rPr>
        <w:t>goal_progress_assessment</w:t>
      </w:r>
      <w:r>
        <w:t xml:space="preserve"> (GPA): a label recording whether the </w:t>
      </w:r>
      <w:r>
        <w:rPr>
          <w:i/>
        </w:rPr>
        <w:t>previous</w:t>
      </w:r>
      <w:r>
        <w:t xml:space="preserve"> recommendation moved the listener toward their goal, i.e. a per-recommendation accept/reject signal. It is the richest preference feedback in the dataset and the trickiest part of the system, because the raw label cannot be used as-is and it is removed entirely from the blind set.</w:t>
      </w:r>
    </w:p>
    <w:p>
      <w:pPr>
        <w:pStyle w:val="Para"/>
      </w:pPr>
      <w:r>
        <w:rPr>
          <w:b/>
        </w:rPr>
        <w:t>First, align it in time.</w:t>
      </w:r>
      <w:r>
        <w:t xml:space="preserve"> The GPA at turn </w:t>
      </w:r>
      <w:r>
        <w:rPr>
          <w:i/>
        </w:rPr>
        <w:t>T</w:t>
      </w:r>
      <w:r>
        <w:t xml:space="preserve"> is the reaction to the track recommended at turn </w:t>
      </w:r>
      <w:r>
        <w:rPr>
          <w:i/>
        </w:rPr>
        <w:t>T-1</w:t>
      </w:r>
      <w:r>
        <w:t>: the system acts at one turn and the user responds at the next. A naive reading attaches each reaction to the wrong track, so we shift every GPA back one turn (</w:t>
      </w:r>
      <w:r>
        <w:rPr>
          <w:rFonts w:ascii="Courier New" w:hAnsi="Courier New"/>
        </w:rPr>
        <w:t>turn_number - 1</w:t>
      </w:r>
      <w:r>
        <w:t>). This alignment is a prerequisite for everything below.</w:t>
      </w:r>
    </w:p>
    <w:p>
      <w:pPr>
        <w:pStyle w:val="Para"/>
      </w:pPr>
      <w:r>
        <w:rPr>
          <w:b/>
        </w:rPr>
        <w:t>Second, stop treating rejected tracks as positives.</w:t>
      </w:r>
      <w:r>
        <w:t xml:space="preserve"> After alignment, 43.2% of turns carry a gold track the user </w:t>
      </w:r>
      <w:r>
        <w:rPr>
          <w:i/>
        </w:rPr>
        <w:t>rejected</w:t>
      </w:r>
      <w:r>
        <w:t xml:space="preserve"> (</w:t>
      </w:r>
      <w:r>
        <w:rPr>
          <w:rFonts w:ascii="Courier New" w:hAnsi="Courier New"/>
        </w:rPr>
        <w:t>DOES_NOT_MOVE_TOWARD_GOAL</w:t>
      </w:r>
      <w:r>
        <w:t xml:space="preserve">). Training these as positives teaches both models to rank rejected tracks highly. We use them differently: the ranker </w:t>
      </w:r>
      <w:r>
        <w:rPr>
          <w:i/>
        </w:rPr>
        <w:t>drops</w:t>
      </w:r>
      <w:r>
        <w:t xml:space="preserve"> such turns (a rejected track is not a valid positive), while the retriever keeps the rejected track as a </w:t>
      </w:r>
      <w:r>
        <w:rPr>
          <w:i/>
        </w:rPr>
        <w:t>hard negative</w:t>
      </w:r>
      <w:r>
        <w:t xml:space="preserve"> for that session, exactly the near-miss the encoder should learn to push away. We prioritize confirmed session rejections, then BM25 near-misses, then same-artist distractors, then in-batch negatives, and never sample an accepted track as a negative.</w:t>
      </w:r>
    </w:p>
    <w:p>
      <w:pPr>
        <w:pStyle w:val="Para"/>
      </w:pPr>
      <w:r>
        <w:rPr>
          <w:b/>
        </w:rPr>
        <w:t>Third, act on the feedback at inference.</w:t>
      </w:r>
      <w:r>
        <w:t xml:space="preserve"> The aligned GPA drives three behaviors: the history-based retrievers (sources 3, 7 and the BM25 query) are seeded only from </w:t>
      </w:r>
      <w:r>
        <w:rPr>
          <w:i/>
        </w:rPr>
        <w:t>accepted</w:t>
      </w:r>
      <w:r>
        <w:t xml:space="preserve"> tracks, so a streak of rejections does not fill the pool with neighbors of refused tracks; the ranker receives features contrasting a candidate against the accepted- and rejected-history centroids (Section 4); and the anchor's goal slot is replaced by the most recently accepted track ("more like the last thing that worked").</w:t>
      </w:r>
    </w:p>
    <w:p>
      <w:pPr>
        <w:pStyle w:val="Para"/>
      </w:pPr>
      <w:r>
        <w:rPr>
          <w:b/>
        </w:rPr>
        <w:t>Finally, reconstruct it when missing.</w:t>
      </w:r>
      <w:r>
        <w:t xml:space="preserve"> The blind set removes GPA, so we infer it from the dialogue: a rule-based classifier labels each user follow-up accept or reject from keyword banks (accept: "love it", "more like this"; reject: "not what", "something different"). The inferred label fills the anchor's </w:t>
      </w:r>
      <w:r>
        <w:rPr>
          <w:rFonts w:ascii="Courier New" w:hAnsi="Courier New"/>
        </w:rPr>
        <w:t>REACTION</w:t>
      </w:r>
      <w:r>
        <w:t xml:space="preserve"> slot and drives the same seed filtering and features. On the blind-simulated holdout the system scores as well with this proxy as with the true label, which is what makes it viable.</w:t>
      </w:r>
    </w:p>
    <w:p>
      <w:pPr>
        <w:pStyle w:val="Head1"/>
      </w:pPr>
      <w:r>
        <w:t>4 Learning-to-Rank Rescoring</w:t>
      </w:r>
    </w:p>
    <w:p>
      <w:pPr>
        <w:pStyle w:val="Para"/>
      </w:pPr>
      <w:r>
        <w:t xml:space="preserve">The rescorer is a LightGBM LambdaMART model (nDCG@20 objective) that scores every pooled candidate and returns the top 20. It replaces hand-tuned linear fusion and is the pivotal choice: it </w:t>
      </w:r>
      <w:r>
        <w:rPr>
          <w:i/>
        </w:rPr>
        <w:t>decouples recall from precision</w:t>
      </w:r>
      <w:r>
        <w:t>, absorbs heterogeneous features (cosines, ranks, count tables, metadata, session counters), and handles extreme imbalance natively (one positive per ~3,100 candidates) via pairwise gradients within each turn's group. Training runs the full retrieval in dump mode on 6,000 held-out sessions, yielding 24,718 groups and 77.7M rows (positive rate 0.00035); the model has 67 features (5-fold session CV nDCG@20 = 0.3144) and is a 0.6 MB file. The features fall into six groups (Table 2). Group B dominates: multi-source agreement accounts for roughly 57% of total model gain and is the feature that transfers best when goal and GPA are withheld on the blind set.</w:t>
      </w:r>
    </w:p>
    <w:p>
      <w:pPr>
        <w:pStyle w:val="TableCaption"/>
      </w:pPr>
      <w:r>
        <w:t>Table 2: Rescorer feature groups (67 features).</w:t>
      </w:r>
    </w:p>
    <w:tbl>
      <w:tblPr>
        <w:tblStyle w:val="TableGrid"/>
        <w:tblW w:type="auto" w:w="0"/>
        <w:tblLook w:firstColumn="1" w:firstRow="1" w:lastColumn="0" w:lastRow="0" w:noHBand="0" w:noVBand="1" w:val="04A0"/>
      </w:tblPr>
      <w:tblGrid>
        <w:gridCol w:w="5040"/>
        <w:gridCol w:w="5040"/>
      </w:tblGrid>
      <w:tr>
        <w:tc>
          <w:tcPr>
            <w:tcW w:type="dxa" w:w="5040"/>
          </w:tcPr>
          <w:p>
            <w:r/>
            <w:r>
              <w:rPr>
                <w:b/>
                <w:sz w:val="18"/>
              </w:rPr>
              <w:t>Group</w:t>
            </w:r>
          </w:p>
        </w:tc>
        <w:tc>
          <w:tcPr>
            <w:tcW w:type="dxa" w:w="5040"/>
          </w:tcPr>
          <w:p>
            <w:r/>
            <w:r>
              <w:rPr>
                <w:b/>
                <w:sz w:val="18"/>
              </w:rPr>
              <w:t>Features</w:t>
            </w:r>
          </w:p>
        </w:tc>
      </w:tr>
      <w:tr>
        <w:tc>
          <w:tcPr>
            <w:tcW w:type="dxa" w:w="5040"/>
          </w:tcPr>
          <w:p>
            <w:r>
              <w:rPr>
                <w:sz w:val="18"/>
              </w:rPr>
            </w:r>
            <w:r>
              <w:rPr>
                <w:sz w:val="18"/>
              </w:rPr>
              <w:t>A. Retrieval scores</w:t>
            </w:r>
          </w:p>
        </w:tc>
        <w:tc>
          <w:tcPr>
            <w:tcW w:type="dxa" w:w="5040"/>
          </w:tcPr>
          <w:p>
            <w:r>
              <w:rPr>
                <w:sz w:val="18"/>
              </w:rPr>
            </w:r>
            <w:r>
              <w:rPr>
                <w:sz w:val="18"/>
              </w:rPr>
              <w:t>two-tower cosine and rank; Qwen3 metadata and lyrics cosines; CLAP audio cosine; CF cosine; BM25 reciprocal rank; co-occurrence rank</w:t>
            </w:r>
          </w:p>
        </w:tc>
      </w:tr>
      <w:tr>
        <w:tc>
          <w:tcPr>
            <w:tcW w:type="dxa" w:w="5040"/>
          </w:tcPr>
          <w:p>
            <w:r>
              <w:rPr>
                <w:sz w:val="18"/>
              </w:rPr>
            </w:r>
            <w:r>
              <w:rPr>
                <w:sz w:val="18"/>
              </w:rPr>
              <w:t>B. Source agreement</w:t>
            </w:r>
          </w:p>
        </w:tc>
        <w:tc>
          <w:tcPr>
            <w:tcW w:type="dxa" w:w="5040"/>
          </w:tcPr>
          <w:p>
            <w:r>
              <w:rPr>
                <w:sz w:val="18"/>
              </w:rPr>
            </w:r>
            <w:r>
              <w:rPr>
                <w:rFonts w:ascii="Courier New" w:hAnsi="Courier New"/>
                <w:sz w:val="18"/>
              </w:rPr>
              <w:t>n_sources</w:t>
            </w:r>
            <w:r>
              <w:rPr>
                <w:sz w:val="18"/>
              </w:rPr>
              <w:t xml:space="preserve"> and transforms: count of sources returning the candidate; a de-facto ensemble vote</w:t>
            </w:r>
          </w:p>
        </w:tc>
      </w:tr>
      <w:tr>
        <w:tc>
          <w:tcPr>
            <w:tcW w:type="dxa" w:w="5040"/>
          </w:tcPr>
          <w:p>
            <w:r>
              <w:rPr>
                <w:sz w:val="18"/>
              </w:rPr>
            </w:r>
            <w:r>
              <w:rPr>
                <w:sz w:val="18"/>
              </w:rPr>
              <w:t>C. Track metadata</w:t>
            </w:r>
          </w:p>
        </w:tc>
        <w:tc>
          <w:tcPr>
            <w:tcW w:type="dxa" w:w="5040"/>
          </w:tcPr>
          <w:p>
            <w:r>
              <w:rPr>
                <w:sz w:val="18"/>
              </w:rPr>
            </w:r>
            <w:r>
              <w:rPr>
                <w:sz w:val="18"/>
              </w:rPr>
              <w:t>popularity percentile; years since release; request-tag overlap</w:t>
            </w:r>
          </w:p>
        </w:tc>
      </w:tr>
      <w:tr>
        <w:tc>
          <w:tcPr>
            <w:tcW w:type="dxa" w:w="5040"/>
          </w:tcPr>
          <w:p>
            <w:r>
              <w:rPr>
                <w:sz w:val="18"/>
              </w:rPr>
            </w:r>
            <w:r>
              <w:rPr>
                <w:sz w:val="18"/>
              </w:rPr>
              <w:t>D. Session state (GPA)</w:t>
            </w:r>
          </w:p>
        </w:tc>
        <w:tc>
          <w:tcPr>
            <w:tcW w:type="dxa" w:w="5040"/>
          </w:tcPr>
          <w:p>
            <w:r>
              <w:rPr>
                <w:sz w:val="18"/>
              </w:rPr>
            </w:r>
            <w:r>
              <w:rPr>
                <w:sz w:val="18"/>
              </w:rPr>
              <w:t>cosine to accepted- and to rejected-history centroids; artist-in-rejected-set; accepted/rejected turn counts; consecutive rejections; CF distance to history</w:t>
            </w:r>
          </w:p>
        </w:tc>
      </w:tr>
      <w:tr>
        <w:tc>
          <w:tcPr>
            <w:tcW w:type="dxa" w:w="5040"/>
          </w:tcPr>
          <w:p>
            <w:r>
              <w:rPr>
                <w:sz w:val="18"/>
              </w:rPr>
            </w:r>
            <w:r>
              <w:rPr>
                <w:sz w:val="18"/>
              </w:rPr>
              <w:t>E. Intent extraction</w:t>
            </w:r>
          </w:p>
        </w:tc>
        <w:tc>
          <w:tcPr>
            <w:tcW w:type="dxa" w:w="5040"/>
          </w:tcPr>
          <w:p>
            <w:r>
              <w:rPr>
                <w:sz w:val="18"/>
              </w:rPr>
            </w:r>
            <w:r>
              <w:rPr>
                <w:sz w:val="18"/>
              </w:rPr>
              <w:t>era/genre/mood keywords parsed from the request; candidate era/genre match; album continuity; within-artist popularity and transition ranks; bucket-match counts</w:t>
            </w:r>
          </w:p>
        </w:tc>
      </w:tr>
      <w:tr>
        <w:tc>
          <w:tcPr>
            <w:tcW w:type="dxa" w:w="5040"/>
          </w:tcPr>
          <w:p>
            <w:r>
              <w:rPr>
                <w:sz w:val="18"/>
              </w:rPr>
            </w:r>
            <w:r>
              <w:rPr>
                <w:sz w:val="18"/>
              </w:rPr>
              <w:t>F. Sequential ID</w:t>
            </w:r>
          </w:p>
        </w:tc>
        <w:tc>
          <w:tcPr>
            <w:tcW w:type="dxa" w:w="5040"/>
          </w:tcPr>
          <w:p>
            <w:r>
              <w:rPr>
                <w:sz w:val="18"/>
              </w:rPr>
            </w:r>
            <w:r>
              <w:rPr>
                <w:sz w:val="18"/>
              </w:rPr>
              <w:t>SASRec bucket-origin and rank (optional configuration)</w:t>
            </w:r>
          </w:p>
        </w:tc>
      </w:tr>
    </w:tbl>
    <w:p>
      <w:pPr>
        <w:pStyle w:val="Head1"/>
      </w:pPr>
      <w:r>
        <w:t>5 Results</w:t>
      </w:r>
    </w:p>
    <w:p>
      <w:pPr>
        <w:pStyle w:val="Para"/>
      </w:pPr>
      <w:r>
        <w:t>Table 3 lists only the changes that moved the development nDCG@20 (1,000 sessions). The two largest single jumps are non-model changes: excluding already-played tracks from BM25 (+0.035), and replacing linear fusion with a learned ranker, which unlocked every later feature. The goal-progress fixes of Section 3.3 account for the final step to 0.1864. On the blind sets the same system scores nDCG@20 = 0.3997 (Blind A) and composite 0.49 (Blind B). Two negative results shaped the design: post-hoc editing of the ranker's top-20 to "clean up obvious mistakes" regressed nDCG in every trial, because logged next-tracks often lie inside the same artist cluster a curator would prune; and zero-shot cross-encoder and LLM rerankers underperformed the feature-based LambdaMART while costing orders of magnitude more compute.</w:t>
      </w:r>
    </w:p>
    <w:p>
      <w:pPr>
        <w:pStyle w:val="TableCaption"/>
      </w:pPr>
      <w:r>
        <w:t>Table 3: Development nDCG@20 after each load-bearing change.</w:t>
      </w:r>
    </w:p>
    <w:tbl>
      <w:tblPr>
        <w:tblStyle w:val="TableGrid"/>
        <w:tblW w:type="auto" w:w="0"/>
        <w:tblLook w:firstColumn="1" w:firstRow="1" w:lastColumn="0" w:lastRow="0" w:noHBand="0" w:noVBand="1" w:val="04A0"/>
      </w:tblPr>
      <w:tblGrid>
        <w:gridCol w:w="5040"/>
        <w:gridCol w:w="5040"/>
      </w:tblGrid>
      <w:tr>
        <w:tc>
          <w:tcPr>
            <w:tcW w:type="dxa" w:w="5040"/>
          </w:tcPr>
          <w:p>
            <w:r/>
            <w:r>
              <w:rPr>
                <w:b/>
                <w:sz w:val="18"/>
              </w:rPr>
              <w:t>Change</w:t>
            </w:r>
          </w:p>
        </w:tc>
        <w:tc>
          <w:tcPr>
            <w:tcW w:type="dxa" w:w="5040"/>
          </w:tcPr>
          <w:p>
            <w:r/>
            <w:r>
              <w:rPr>
                <w:b/>
                <w:sz w:val="18"/>
              </w:rPr>
              <w:t>nDCG@20</w:t>
            </w:r>
          </w:p>
        </w:tc>
      </w:tr>
      <w:tr>
        <w:tc>
          <w:tcPr>
            <w:tcW w:type="dxa" w:w="5040"/>
          </w:tcPr>
          <w:p>
            <w:r>
              <w:rPr>
                <w:sz w:val="18"/>
              </w:rPr>
            </w:r>
            <w:r>
              <w:rPr>
                <w:sz w:val="18"/>
              </w:rPr>
              <w:t>BM25 over name + artist + album</w:t>
            </w:r>
          </w:p>
        </w:tc>
        <w:tc>
          <w:tcPr>
            <w:tcW w:type="dxa" w:w="5040"/>
          </w:tcPr>
          <w:p>
            <w:r>
              <w:rPr>
                <w:sz w:val="18"/>
              </w:rPr>
            </w:r>
            <w:r>
              <w:rPr>
                <w:sz w:val="18"/>
              </w:rPr>
              <w:t>0.0861</w:t>
            </w:r>
          </w:p>
        </w:tc>
      </w:tr>
      <w:tr>
        <w:tc>
          <w:tcPr>
            <w:tcW w:type="dxa" w:w="5040"/>
          </w:tcPr>
          <w:p>
            <w:r>
              <w:rPr>
                <w:sz w:val="18"/>
              </w:rPr>
            </w:r>
            <w:r>
              <w:rPr>
                <w:sz w:val="18"/>
              </w:rPr>
              <w:t>+ index the tag list</w:t>
            </w:r>
          </w:p>
        </w:tc>
        <w:tc>
          <w:tcPr>
            <w:tcW w:type="dxa" w:w="5040"/>
          </w:tcPr>
          <w:p>
            <w:r>
              <w:rPr>
                <w:sz w:val="18"/>
              </w:rPr>
            </w:r>
            <w:r>
              <w:rPr>
                <w:sz w:val="18"/>
              </w:rPr>
              <w:t>0.0960</w:t>
            </w:r>
          </w:p>
        </w:tc>
      </w:tr>
      <w:tr>
        <w:tc>
          <w:tcPr>
            <w:tcW w:type="dxa" w:w="5040"/>
          </w:tcPr>
          <w:p>
            <w:r>
              <w:rPr>
                <w:sz w:val="18"/>
              </w:rPr>
            </w:r>
            <w:r>
              <w:rPr>
                <w:sz w:val="18"/>
              </w:rPr>
              <w:t>+ exclude already-played tracks</w:t>
            </w:r>
          </w:p>
        </w:tc>
        <w:tc>
          <w:tcPr>
            <w:tcW w:type="dxa" w:w="5040"/>
          </w:tcPr>
          <w:p>
            <w:r>
              <w:rPr>
                <w:sz w:val="18"/>
              </w:rPr>
            </w:r>
            <w:r>
              <w:rPr>
                <w:sz w:val="18"/>
              </w:rPr>
              <w:t>0.1313</w:t>
            </w:r>
          </w:p>
        </w:tc>
      </w:tr>
      <w:tr>
        <w:tc>
          <w:tcPr>
            <w:tcW w:type="dxa" w:w="5040"/>
          </w:tcPr>
          <w:p>
            <w:r>
              <w:rPr>
                <w:sz w:val="18"/>
              </w:rPr>
            </w:r>
            <w:r>
              <w:rPr>
                <w:sz w:val="18"/>
              </w:rPr>
              <w:t>+ fine-tuned two-tower, linear fusion</w:t>
            </w:r>
          </w:p>
        </w:tc>
        <w:tc>
          <w:tcPr>
            <w:tcW w:type="dxa" w:w="5040"/>
          </w:tcPr>
          <w:p>
            <w:r>
              <w:rPr>
                <w:sz w:val="18"/>
              </w:rPr>
            </w:r>
            <w:r>
              <w:rPr>
                <w:sz w:val="18"/>
              </w:rPr>
              <w:t>0.1418</w:t>
            </w:r>
          </w:p>
        </w:tc>
      </w:tr>
      <w:tr>
        <w:tc>
          <w:tcPr>
            <w:tcW w:type="dxa" w:w="5040"/>
          </w:tcPr>
          <w:p>
            <w:r>
              <w:rPr>
                <w:sz w:val="18"/>
              </w:rPr>
            </w:r>
            <w:r>
              <w:rPr>
                <w:sz w:val="18"/>
              </w:rPr>
              <w:t>+ multi-source pool expansion</w:t>
            </w:r>
          </w:p>
        </w:tc>
        <w:tc>
          <w:tcPr>
            <w:tcW w:type="dxa" w:w="5040"/>
          </w:tcPr>
          <w:p>
            <w:r>
              <w:rPr>
                <w:sz w:val="18"/>
              </w:rPr>
            </w:r>
            <w:r>
              <w:rPr>
                <w:sz w:val="18"/>
              </w:rPr>
              <w:t>0.1533</w:t>
            </w:r>
          </w:p>
        </w:tc>
      </w:tr>
      <w:tr>
        <w:tc>
          <w:tcPr>
            <w:tcW w:type="dxa" w:w="5040"/>
          </w:tcPr>
          <w:p>
            <w:r>
              <w:rPr>
                <w:sz w:val="18"/>
              </w:rPr>
            </w:r>
            <w:r>
              <w:rPr>
                <w:sz w:val="18"/>
              </w:rPr>
              <w:t>+ LightGBM LambdaMART replaces linear fusion</w:t>
            </w:r>
          </w:p>
        </w:tc>
        <w:tc>
          <w:tcPr>
            <w:tcW w:type="dxa" w:w="5040"/>
          </w:tcPr>
          <w:p>
            <w:r>
              <w:rPr>
                <w:sz w:val="18"/>
              </w:rPr>
            </w:r>
            <w:r>
              <w:rPr>
                <w:sz w:val="18"/>
              </w:rPr>
              <w:t>0.1609</w:t>
            </w:r>
          </w:p>
        </w:tc>
      </w:tr>
      <w:tr>
        <w:tc>
          <w:tcPr>
            <w:tcW w:type="dxa" w:w="5040"/>
          </w:tcPr>
          <w:p>
            <w:r>
              <w:rPr>
                <w:sz w:val="18"/>
              </w:rPr>
            </w:r>
            <w:r>
              <w:rPr>
                <w:sz w:val="18"/>
              </w:rPr>
              <w:t>+ feature engineering, larger two-tower pool</w:t>
            </w:r>
          </w:p>
        </w:tc>
        <w:tc>
          <w:tcPr>
            <w:tcW w:type="dxa" w:w="5040"/>
          </w:tcPr>
          <w:p>
            <w:r>
              <w:rPr>
                <w:sz w:val="18"/>
              </w:rPr>
            </w:r>
            <w:r>
              <w:rPr>
                <w:sz w:val="18"/>
              </w:rPr>
              <w:t>0.1684</w:t>
            </w:r>
          </w:p>
        </w:tc>
      </w:tr>
      <w:tr>
        <w:tc>
          <w:tcPr>
            <w:tcW w:type="dxa" w:w="5040"/>
          </w:tcPr>
          <w:p>
            <w:r>
              <w:rPr>
                <w:sz w:val="18"/>
              </w:rPr>
            </w:r>
            <w:r>
              <w:rPr>
                <w:sz w:val="18"/>
              </w:rPr>
              <w:t>+ E5 role-tagged dialogue anchor</w:t>
            </w:r>
          </w:p>
        </w:tc>
        <w:tc>
          <w:tcPr>
            <w:tcW w:type="dxa" w:w="5040"/>
          </w:tcPr>
          <w:p>
            <w:r>
              <w:rPr>
                <w:sz w:val="18"/>
              </w:rPr>
            </w:r>
            <w:r>
              <w:rPr>
                <w:sz w:val="18"/>
              </w:rPr>
              <w:t>0.1748</w:t>
            </w:r>
          </w:p>
        </w:tc>
      </w:tr>
      <w:tr>
        <w:tc>
          <w:tcPr>
            <w:tcW w:type="dxa" w:w="5040"/>
          </w:tcPr>
          <w:p>
            <w:r>
              <w:rPr>
                <w:sz w:val="18"/>
              </w:rPr>
            </w:r>
            <w:r>
              <w:rPr>
                <w:sz w:val="18"/>
              </w:rPr>
              <w:t>+ GPA-aware inference and intent features</w:t>
            </w:r>
          </w:p>
        </w:tc>
        <w:tc>
          <w:tcPr>
            <w:tcW w:type="dxa" w:w="5040"/>
          </w:tcPr>
          <w:p>
            <w:r>
              <w:rPr>
                <w:sz w:val="18"/>
              </w:rPr>
            </w:r>
            <w:r>
              <w:rPr>
                <w:sz w:val="18"/>
              </w:rPr>
              <w:t>0.1864</w:t>
            </w:r>
          </w:p>
        </w:tc>
      </w:tr>
    </w:tbl>
    <w:p>
      <w:pPr>
        <w:pStyle w:val="Head1"/>
      </w:pPr>
      <w:r>
        <w:t>6 Efficiency and Scalability</w:t>
      </w:r>
    </w:p>
    <w:p>
      <w:pPr>
        <w:pStyle w:val="Para"/>
      </w:pPr>
      <w:r>
        <w:t xml:space="preserve">Every stage is CPU-native; Table 4 (top) reports per-component latencies with all neural blocks forced to CPU. Exact brute-force similarity over the 47,071 x 768 matrix is a single matmul, so no approximate index is needed at this catalog scale, and every stage except the encoder passes is single-digit milliseconds. Measured end-to-end over the 200-session evaluation set, the full recall-plus- rescore pipeline runs at </w:t>
      </w:r>
      <w:r>
        <w:rPr>
          <w:b/>
        </w:rPr>
        <w:t>2.17 s per session, about 0.27 s per turn</w:t>
      </w:r>
      <w:r>
        <w:t xml:space="preserve"> (Table 4, bottom). Of this, the rescore stage is negligible: scoring the ~3,100-candidate pool with LambdaMART takes 3.4 ms, roughly 1% of turn latency, so recall (the nine sources and their two query-encoder passes) accounts for essentially all of it. Even with every neural block pinned to the CPU (Table 4, top), a full turn stays under one second; dropping the frozen Qwen3-0.6B encoder in the eight-source configuration removes the single largest cost. The trained artifact is a 24 MB LoRA adapter and the serving process fits in under ~2 GB of RAM, so the entire train/evaluate/iterate loop, including the one LoRA fine-tune, runs on a single 16 GB desktop, which is what made rapid iteration practical.</w:t>
      </w:r>
    </w:p>
    <w:p>
      <w:pPr>
        <w:pStyle w:val="Para"/>
      </w:pPr>
      <w:r>
        <w:rPr>
          <w:b/>
        </w:rPr>
        <w:t>Table 4: Measured latency and footprint. Top: per component, all neural blocks forced to CPU (worst case), median over 20 runs. Bottom: end-to-end recall + rescore over the 200-session set, encoders on the Metal backend.</w:t>
      </w:r>
    </w:p>
    <w:tbl>
      <w:tblPr>
        <w:tblStyle w:val="TableGrid"/>
        <w:tblW w:type="auto" w:w="0"/>
        <w:tblLook w:firstColumn="1" w:firstRow="1" w:lastColumn="0" w:lastRow="0" w:noHBand="0" w:noVBand="1" w:val="04A0"/>
      </w:tblPr>
      <w:tblGrid>
        <w:gridCol w:w="5040"/>
        <w:gridCol w:w="5040"/>
      </w:tblGrid>
      <w:tr>
        <w:tc>
          <w:tcPr>
            <w:tcW w:type="dxa" w:w="5040"/>
          </w:tcPr>
          <w:p>
            <w:r/>
            <w:r>
              <w:rPr>
                <w:b/>
                <w:sz w:val="18"/>
              </w:rPr>
              <w:t>Operation</w:t>
            </w:r>
          </w:p>
        </w:tc>
        <w:tc>
          <w:tcPr>
            <w:tcW w:type="dxa" w:w="5040"/>
          </w:tcPr>
          <w:p>
            <w:r/>
            <w:r>
              <w:rPr>
                <w:b/>
                <w:sz w:val="18"/>
              </w:rPr>
              <w:t>Cost</w:t>
            </w:r>
          </w:p>
        </w:tc>
      </w:tr>
      <w:tr>
        <w:tc>
          <w:tcPr>
            <w:tcW w:type="dxa" w:w="5040"/>
          </w:tcPr>
          <w:p>
            <w:r>
              <w:rPr>
                <w:sz w:val="18"/>
              </w:rPr>
            </w:r>
            <w:r>
              <w:rPr>
                <w:sz w:val="18"/>
              </w:rPr>
              <w:t>Two-tower query encode (e5-base)</w:t>
            </w:r>
          </w:p>
        </w:tc>
        <w:tc>
          <w:tcPr>
            <w:tcW w:type="dxa" w:w="5040"/>
          </w:tcPr>
          <w:p>
            <w:r>
              <w:rPr>
                <w:sz w:val="18"/>
              </w:rPr>
            </w:r>
            <w:r>
              <w:rPr>
                <w:sz w:val="18"/>
              </w:rPr>
              <w:t>47 ms</w:t>
            </w:r>
          </w:p>
        </w:tc>
      </w:tr>
      <w:tr>
        <w:tc>
          <w:tcPr>
            <w:tcW w:type="dxa" w:w="5040"/>
          </w:tcPr>
          <w:p>
            <w:r>
              <w:rPr>
                <w:sz w:val="18"/>
              </w:rPr>
            </w:r>
            <w:r>
              <w:rPr>
                <w:sz w:val="18"/>
              </w:rPr>
              <w:t>Exact ANN, 47,071 x 768, top-2000</w:t>
            </w:r>
          </w:p>
        </w:tc>
        <w:tc>
          <w:tcPr>
            <w:tcW w:type="dxa" w:w="5040"/>
          </w:tcPr>
          <w:p>
            <w:r>
              <w:rPr>
                <w:sz w:val="18"/>
              </w:rPr>
            </w:r>
            <w:r>
              <w:rPr>
                <w:sz w:val="18"/>
              </w:rPr>
              <w:t>2.2 ms</w:t>
            </w:r>
          </w:p>
        </w:tc>
      </w:tr>
      <w:tr>
        <w:tc>
          <w:tcPr>
            <w:tcW w:type="dxa" w:w="5040"/>
          </w:tcPr>
          <w:p>
            <w:r>
              <w:rPr>
                <w:sz w:val="18"/>
              </w:rPr>
            </w:r>
            <w:r>
              <w:rPr>
                <w:sz w:val="18"/>
              </w:rPr>
              <w:t>Qwen3-0.6B query encode</w:t>
            </w:r>
          </w:p>
        </w:tc>
        <w:tc>
          <w:tcPr>
            <w:tcW w:type="dxa" w:w="5040"/>
          </w:tcPr>
          <w:p>
            <w:r>
              <w:rPr>
                <w:sz w:val="18"/>
              </w:rPr>
            </w:r>
            <w:r>
              <w:rPr>
                <w:sz w:val="18"/>
              </w:rPr>
              <w:t>601 ms</w:t>
            </w:r>
          </w:p>
        </w:tc>
      </w:tr>
      <w:tr>
        <w:tc>
          <w:tcPr>
            <w:tcW w:type="dxa" w:w="5040"/>
          </w:tcPr>
          <w:p>
            <w:r>
              <w:rPr>
                <w:sz w:val="18"/>
              </w:rPr>
            </w:r>
            <w:r>
              <w:rPr>
                <w:sz w:val="18"/>
              </w:rPr>
              <w:t>BM25 retrieve, top-500</w:t>
            </w:r>
          </w:p>
        </w:tc>
        <w:tc>
          <w:tcPr>
            <w:tcW w:type="dxa" w:w="5040"/>
          </w:tcPr>
          <w:p>
            <w:r>
              <w:rPr>
                <w:sz w:val="18"/>
              </w:rPr>
            </w:r>
            <w:r>
              <w:rPr>
                <w:sz w:val="18"/>
              </w:rPr>
              <w:t>0.5 ms</w:t>
            </w:r>
          </w:p>
        </w:tc>
      </w:tr>
      <w:tr>
        <w:tc>
          <w:tcPr>
            <w:tcW w:type="dxa" w:w="5040"/>
          </w:tcPr>
          <w:p>
            <w:r>
              <w:rPr>
                <w:sz w:val="18"/>
              </w:rPr>
            </w:r>
            <w:r>
              <w:rPr>
                <w:sz w:val="18"/>
              </w:rPr>
              <w:t>Rescore: LambdaMART, 3,100 x 67 features</w:t>
            </w:r>
          </w:p>
        </w:tc>
        <w:tc>
          <w:tcPr>
            <w:tcW w:type="dxa" w:w="5040"/>
          </w:tcPr>
          <w:p>
            <w:r>
              <w:rPr>
                <w:sz w:val="18"/>
              </w:rPr>
            </w:r>
            <w:r>
              <w:rPr>
                <w:sz w:val="18"/>
              </w:rPr>
              <w:t>3.4 ms</w:t>
            </w:r>
          </w:p>
        </w:tc>
      </w:tr>
      <w:tr>
        <w:tc>
          <w:tcPr>
            <w:tcW w:type="dxa" w:w="5040"/>
          </w:tcPr>
          <w:p>
            <w:r>
              <w:rPr>
                <w:sz w:val="18"/>
              </w:rPr>
            </w:r>
            <w:r>
              <w:rPr>
                <w:sz w:val="18"/>
              </w:rPr>
              <w:t>Serving memory, all components loaded</w:t>
            </w:r>
          </w:p>
        </w:tc>
        <w:tc>
          <w:tcPr>
            <w:tcW w:type="dxa" w:w="5040"/>
          </w:tcPr>
          <w:p>
            <w:r>
              <w:rPr>
                <w:sz w:val="18"/>
              </w:rPr>
            </w:r>
            <w:r>
              <w:rPr>
                <w:sz w:val="18"/>
              </w:rPr>
              <w:t>1.85 GB</w:t>
            </w:r>
          </w:p>
        </w:tc>
      </w:tr>
      <w:tr>
        <w:tc>
          <w:tcPr>
            <w:tcW w:type="dxa" w:w="5040"/>
          </w:tcPr>
          <w:p>
            <w:r>
              <w:rPr>
                <w:sz w:val="18"/>
              </w:rPr>
            </w:r>
            <w:r>
              <w:rPr>
                <w:sz w:val="18"/>
              </w:rPr>
              <w:t>Trained artifact (LoRA adapter)</w:t>
            </w:r>
          </w:p>
        </w:tc>
        <w:tc>
          <w:tcPr>
            <w:tcW w:type="dxa" w:w="5040"/>
          </w:tcPr>
          <w:p>
            <w:r>
              <w:rPr>
                <w:sz w:val="18"/>
              </w:rPr>
            </w:r>
            <w:r>
              <w:rPr>
                <w:sz w:val="18"/>
              </w:rPr>
              <w:t>24 MB</w:t>
            </w:r>
          </w:p>
        </w:tc>
      </w:tr>
      <w:tr>
        <w:tc>
          <w:tcPr>
            <w:tcW w:type="dxa" w:w="5040"/>
          </w:tcPr>
          <w:p>
            <w:r>
              <w:rPr>
                <w:sz w:val="18"/>
              </w:rPr>
            </w:r>
            <w:r>
              <w:rPr>
                <w:sz w:val="18"/>
              </w:rPr>
              <w:t>Recall stage, per turn (nine sources)</w:t>
            </w:r>
          </w:p>
        </w:tc>
        <w:tc>
          <w:tcPr>
            <w:tcW w:type="dxa" w:w="5040"/>
          </w:tcPr>
          <w:p>
            <w:r>
              <w:rPr>
                <w:sz w:val="18"/>
              </w:rPr>
            </w:r>
            <w:r>
              <w:rPr>
                <w:sz w:val="18"/>
              </w:rPr>
              <w:t>~0.26 s</w:t>
            </w:r>
          </w:p>
        </w:tc>
      </w:tr>
      <w:tr>
        <w:tc>
          <w:tcPr>
            <w:tcW w:type="dxa" w:w="5040"/>
          </w:tcPr>
          <w:p>
            <w:r>
              <w:rPr>
                <w:sz w:val="18"/>
              </w:rPr>
            </w:r>
            <w:r>
              <w:rPr>
                <w:sz w:val="18"/>
              </w:rPr>
              <w:t>Rescore stage, per turn</w:t>
            </w:r>
          </w:p>
        </w:tc>
        <w:tc>
          <w:tcPr>
            <w:tcW w:type="dxa" w:w="5040"/>
          </w:tcPr>
          <w:p>
            <w:r>
              <w:rPr>
                <w:sz w:val="18"/>
              </w:rPr>
            </w:r>
            <w:r>
              <w:rPr>
                <w:sz w:val="18"/>
              </w:rPr>
              <w:t>3.4 ms</w:t>
            </w:r>
          </w:p>
        </w:tc>
      </w:tr>
      <w:tr>
        <w:tc>
          <w:tcPr>
            <w:tcW w:type="dxa" w:w="5040"/>
          </w:tcPr>
          <w:p>
            <w:r>
              <w:rPr>
                <w:sz w:val="18"/>
              </w:rPr>
            </w:r>
            <w:r>
              <w:rPr>
                <w:sz w:val="18"/>
              </w:rPr>
              <w:t>End-to-end, per session (per turn)</w:t>
            </w:r>
          </w:p>
        </w:tc>
        <w:tc>
          <w:tcPr>
            <w:tcW w:type="dxa" w:w="5040"/>
          </w:tcPr>
          <w:p>
            <w:r>
              <w:rPr>
                <w:sz w:val="18"/>
              </w:rPr>
            </w:r>
            <w:r>
              <w:rPr>
                <w:sz w:val="18"/>
              </w:rPr>
              <w:t>2.17 s (0.27 s)</w:t>
            </w:r>
          </w:p>
        </w:tc>
      </w:tr>
    </w:tbl>
    <w:p>
      <w:pPr>
        <w:pStyle w:val="Head1"/>
      </w:pPr>
      <w:r>
        <w:t>7 Conclusion</w:t>
      </w:r>
    </w:p>
    <w:p>
      <w:pPr>
        <w:pStyle w:val="Para"/>
      </w:pPr>
      <w:r>
        <w:t>A conversational music recommender need not use a GPU cluster or a per-candidate neural reranker to be competitive. Fusing many inexpensive retrievers, letting a gradient-boosted ranker arbitrate them, and adding a single LoRA-adapted dialogue encoder reaches composite 0.49 on the blind set while training and serving on one desktop. The largest gains came from data hygiene rather than model capacity, and in particular from correctly handling a goal-progress feedback signal that is off-by-one in time, contaminated with rejected tracks, and absent at test time.</w:t>
      </w:r>
    </w:p>
    <w:p>
      <w:pPr>
        <w:pStyle w:val="AckHead"/>
      </w:pPr>
      <w:r>
        <w:t>ACKNOWLEDGMENTS</w:t>
      </w:r>
    </w:p>
    <w:p>
      <w:pPr>
        <w:pStyle w:val="AckPara"/>
      </w:pPr>
      <w:r>
        <w:t>Insert acknowledgments here.</w:t>
      </w:r>
    </w:p>
    <w:p>
      <w:pPr>
        <w:pStyle w:val="ReferenceHead"/>
      </w:pPr>
      <w:r>
        <w:t>REFERENCES</w:t>
      </w:r>
    </w:p>
    <w:p>
      <w:pPr>
        <w:pStyle w:val="Bibentry"/>
      </w:pPr>
      <w:r>
        <w:t>[1] Wang, L. et al. 2024. Multilingual E5 Text Embeddings: A Technical Report. arXiv:2402.05672.</w:t>
      </w:r>
    </w:p>
    <w:p>
      <w:pPr>
        <w:pStyle w:val="Bibentry"/>
      </w:pPr>
      <w:r>
        <w:t>[2] Ke, G. et al. 2017. LightGBM: A Highly Efficient Gradient Boosting Decision Tree. In NeurIPS.</w:t>
      </w:r>
    </w:p>
    <w:p>
      <w:pPr>
        <w:pStyle w:val="Bibentry"/>
      </w:pPr>
      <w:r>
        <w:t>[3] Burges, C. J. C. 2010. From RankNet to LambdaRank to LambdaMART: An Overview. Microsoft Research Technical Report MSR-TR-2010-82.</w:t>
      </w:r>
    </w:p>
    <w:p>
      <w:pPr>
        <w:pStyle w:val="Bibentry"/>
      </w:pPr>
      <w:r>
        <w:t>[4] Hu, E. J. et al. 2022. LoRA: Low-Rank Adaptation of Large Language Models. In ICLR.</w:t>
      </w:r>
    </w:p>
    <w:p>
      <w:pPr>
        <w:pStyle w:val="Bibentry"/>
      </w:pPr>
      <w:r>
        <w:t>[5] Rendle, S. et al. 2009. BPR: Bayesian Personalized Ranking from Implicit Feedback. In UAI.</w:t>
      </w:r>
    </w:p>
    <w:p>
      <w:pPr>
        <w:pStyle w:val="Bibentry"/>
      </w:pPr>
      <w:r>
        <w:t>[6] Kang, W.-C. and McAuley, J. 2018. Self-Attentive Sequential Recommendation. In ICDM.</w:t>
      </w:r>
    </w:p>
    <w:p>
      <w:pPr>
        <w:pStyle w:val="Bibentry"/>
      </w:pPr>
      <w:r>
        <w:t>[7] Robertson, S. and Zaragoza, H. 2009. The Probabilistic Relevance Framework: BM25 and Beyond. Foundations and Trends in Information Retrieval 3, 4.</w:t>
      </w:r>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FD78E" w14:textId="77777777" w:rsidR="005C0062" w:rsidRDefault="005C0062">
      <w:r>
        <w:separator/>
      </w:r>
    </w:p>
  </w:endnote>
  <w:endnote w:type="continuationSeparator" w:id="0">
    <w:p w14:paraId="44EFDEA7" w14:textId="77777777" w:rsidR="005C0062" w:rsidRDefault="005C0062">
      <w:r>
        <w:continuationSeparator/>
      </w:r>
    </w:p>
  </w:endnote>
  <w:endnote w:type="continuationNotice" w:id="1">
    <w:p w14:paraId="7046FBEE" w14:textId="77777777" w:rsidR="005C0062" w:rsidRDefault="005C00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4D3A" w14:textId="77777777" w:rsidR="00586A35" w:rsidRPr="00586A35" w:rsidRDefault="00586A35" w:rsidP="00586A35">
    <w:pPr>
      <w:pStyle w:val="Footer"/>
      <w:rPr>
        <w:rStyle w:val="PageNumber"/>
        <w:rFonts w:ascii="Linux Biolinum" w:hAnsi="Linux Biolinum" w:cs="Linux Biolinum"/>
      </w:rPr>
    </w:pPr>
  </w:p>
  <w:p w14:paraId="530B8BDA"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0FC3A"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2E058" w14:textId="77777777" w:rsidR="005C0062" w:rsidRDefault="005C0062">
      <w:r>
        <w:separator/>
      </w:r>
    </w:p>
  </w:footnote>
  <w:footnote w:type="continuationSeparator" w:id="0">
    <w:p w14:paraId="0A0135D0" w14:textId="77777777" w:rsidR="005C0062" w:rsidRDefault="005C0062">
      <w:r>
        <w:continuationSeparator/>
      </w:r>
    </w:p>
  </w:footnote>
  <w:footnote w:type="continuationNotice" w:id="1">
    <w:p w14:paraId="47D2A9CE" w14:textId="77777777" w:rsidR="005C0062" w:rsidRDefault="005C0062"/>
  </w:footnote>
  <w:footnote w:id="2">
    <w:p w14:paraId="6DE04DD5" w14:textId="77777777" w:rsidR="00DC112E" w:rsidRDefault="00DC112E" w:rsidP="00DC112E">
      <w:pPr>
        <w:pStyle w:val="FootnoteText"/>
      </w:pPr>
      <w:r>
        <w:rPr>
          <w:rStyle w:val="FootnoteReference"/>
        </w:rPr>
        <w:footnoteRef/>
      </w:r>
      <w:r>
        <w:t xml:space="preserve"> The existing Bibstrip data, copyright text and permission block in the sample file are dummy values, so the user needs to provide the correct values required for the submission in the metadata dialog box.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14:paraId="0B8C25DF" w14:textId="77777777" w:rsidTr="00586A35">
      <w:tc>
        <w:tcPr>
          <w:tcW w:w="2500" w:type="pct"/>
          <w:vAlign w:val="center"/>
        </w:tcPr>
        <w:p w14:paraId="0839EA99" w14:textId="77777777"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WOODSTOCK’18, June, 2018, El Paso, Texas USA</w:t>
          </w:r>
        </w:p>
      </w:tc>
      <w:tc>
        <w:tcPr>
          <w:tcW w:w="2500" w:type="pct"/>
          <w:vAlign w:val="center"/>
        </w:tcPr>
        <w:p w14:paraId="30E991D3" w14:textId="77777777"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F. Surname et al.</w:t>
          </w:r>
        </w:p>
      </w:tc>
    </w:tr>
  </w:tbl>
  <w:p w14:paraId="1A9583CD"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14:paraId="5D496121" w14:textId="77777777" w:rsidTr="00586A35">
      <w:tc>
        <w:tcPr>
          <w:tcW w:w="2500" w:type="pct"/>
          <w:vAlign w:val="center"/>
        </w:tcPr>
        <w:p w14:paraId="6C8BF813" w14:textId="77777777"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Insert Your Title Here</w:t>
          </w:r>
        </w:p>
      </w:tc>
      <w:tc>
        <w:tcPr>
          <w:tcW w:w="2500" w:type="pct"/>
          <w:vAlign w:val="center"/>
        </w:tcPr>
        <w:p w14:paraId="50B8D17C" w14:textId="77777777"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WOODSTOCK’18, June, 2018, El Paso, Texas USA</w:t>
          </w:r>
        </w:p>
      </w:tc>
    </w:tr>
  </w:tbl>
  <w:p w14:paraId="63201C15"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6"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9"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3650852">
    <w:abstractNumId w:val="28"/>
  </w:num>
  <w:num w:numId="2" w16cid:durableId="501240163">
    <w:abstractNumId w:val="14"/>
  </w:num>
  <w:num w:numId="3" w16cid:durableId="403140966">
    <w:abstractNumId w:val="10"/>
  </w:num>
  <w:num w:numId="4" w16cid:durableId="2032146662">
    <w:abstractNumId w:val="27"/>
  </w:num>
  <w:num w:numId="5" w16cid:durableId="556864577">
    <w:abstractNumId w:val="19"/>
  </w:num>
  <w:num w:numId="6" w16cid:durableId="1659116087">
    <w:abstractNumId w:val="15"/>
  </w:num>
  <w:num w:numId="7" w16cid:durableId="1430470961">
    <w:abstractNumId w:val="25"/>
  </w:num>
  <w:num w:numId="8" w16cid:durableId="1307123707">
    <w:abstractNumId w:val="21"/>
  </w:num>
  <w:num w:numId="9" w16cid:durableId="594291693">
    <w:abstractNumId w:val="24"/>
  </w:num>
  <w:num w:numId="10" w16cid:durableId="992831064">
    <w:abstractNumId w:val="9"/>
  </w:num>
  <w:num w:numId="11" w16cid:durableId="1407144677">
    <w:abstractNumId w:val="7"/>
  </w:num>
  <w:num w:numId="12" w16cid:durableId="21171856">
    <w:abstractNumId w:val="6"/>
  </w:num>
  <w:num w:numId="13" w16cid:durableId="1648627468">
    <w:abstractNumId w:val="5"/>
  </w:num>
  <w:num w:numId="14" w16cid:durableId="1804421974">
    <w:abstractNumId w:val="4"/>
  </w:num>
  <w:num w:numId="15" w16cid:durableId="402339594">
    <w:abstractNumId w:val="8"/>
  </w:num>
  <w:num w:numId="16" w16cid:durableId="1452673133">
    <w:abstractNumId w:val="3"/>
  </w:num>
  <w:num w:numId="17" w16cid:durableId="23412387">
    <w:abstractNumId w:val="2"/>
  </w:num>
  <w:num w:numId="18" w16cid:durableId="1267300860">
    <w:abstractNumId w:val="1"/>
  </w:num>
  <w:num w:numId="19" w16cid:durableId="1357927709">
    <w:abstractNumId w:val="0"/>
  </w:num>
  <w:num w:numId="20" w16cid:durableId="1565919636">
    <w:abstractNumId w:val="20"/>
  </w:num>
  <w:num w:numId="21" w16cid:durableId="1326400843">
    <w:abstractNumId w:val="23"/>
  </w:num>
  <w:num w:numId="22" w16cid:durableId="1852333500">
    <w:abstractNumId w:val="29"/>
  </w:num>
  <w:num w:numId="23" w16cid:durableId="2082436269">
    <w:abstractNumId w:val="13"/>
  </w:num>
  <w:num w:numId="24" w16cid:durableId="1157301503">
    <w:abstractNumId w:val="26"/>
  </w:num>
  <w:num w:numId="25" w16cid:durableId="844056796">
    <w:abstractNumId w:val="22"/>
  </w:num>
  <w:num w:numId="26" w16cid:durableId="24916285">
    <w:abstractNumId w:val="16"/>
  </w:num>
  <w:num w:numId="27" w16cid:durableId="86293774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81486442">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40905605">
    <w:abstractNumId w:val="17"/>
  </w:num>
  <w:num w:numId="30" w16cid:durableId="1748456568">
    <w:abstractNumId w:val="12"/>
  </w:num>
  <w:num w:numId="31" w16cid:durableId="2122071075">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ttachedTemplate r:id="rId1"/>
  <w:linkStyles/>
  <w:defaultTabStop w:val="708"/>
  <w:hyphenationZone w:val="283"/>
  <w:evenAndOddHeaders/>
  <w:characterSpacingControl w:val="doNotCompress"/>
  <w:hdrShapeDefaults>
    <o:shapedefaults v:ext="edit" spidmax="4097"/>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19C1"/>
    <w:rsid w:val="0000598B"/>
    <w:rsid w:val="00035FAD"/>
    <w:rsid w:val="00041330"/>
    <w:rsid w:val="00045252"/>
    <w:rsid w:val="00047398"/>
    <w:rsid w:val="00050EEF"/>
    <w:rsid w:val="00052A1A"/>
    <w:rsid w:val="00052C34"/>
    <w:rsid w:val="00056777"/>
    <w:rsid w:val="00062D29"/>
    <w:rsid w:val="000713CD"/>
    <w:rsid w:val="00072E69"/>
    <w:rsid w:val="0007392C"/>
    <w:rsid w:val="000739F9"/>
    <w:rsid w:val="00077680"/>
    <w:rsid w:val="00080E27"/>
    <w:rsid w:val="000819C0"/>
    <w:rsid w:val="0008431E"/>
    <w:rsid w:val="000C050B"/>
    <w:rsid w:val="000E118B"/>
    <w:rsid w:val="000E278E"/>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510"/>
    <w:rsid w:val="001566AE"/>
    <w:rsid w:val="001751F7"/>
    <w:rsid w:val="00193445"/>
    <w:rsid w:val="001961CD"/>
    <w:rsid w:val="001A06AF"/>
    <w:rsid w:val="001A43B1"/>
    <w:rsid w:val="001A71BB"/>
    <w:rsid w:val="001B29D6"/>
    <w:rsid w:val="001D5887"/>
    <w:rsid w:val="001E2720"/>
    <w:rsid w:val="001E71D7"/>
    <w:rsid w:val="0020294A"/>
    <w:rsid w:val="002233F8"/>
    <w:rsid w:val="00245119"/>
    <w:rsid w:val="00250FEF"/>
    <w:rsid w:val="00252596"/>
    <w:rsid w:val="00264B6B"/>
    <w:rsid w:val="00270347"/>
    <w:rsid w:val="0027195D"/>
    <w:rsid w:val="002738DA"/>
    <w:rsid w:val="00282789"/>
    <w:rsid w:val="00290DF5"/>
    <w:rsid w:val="00292645"/>
    <w:rsid w:val="0029583F"/>
    <w:rsid w:val="002A517A"/>
    <w:rsid w:val="002B01E4"/>
    <w:rsid w:val="002B1F59"/>
    <w:rsid w:val="002D26C4"/>
    <w:rsid w:val="002F069E"/>
    <w:rsid w:val="002F2289"/>
    <w:rsid w:val="002F2EB2"/>
    <w:rsid w:val="00301545"/>
    <w:rsid w:val="00303FAD"/>
    <w:rsid w:val="003057B1"/>
    <w:rsid w:val="00307501"/>
    <w:rsid w:val="00317850"/>
    <w:rsid w:val="00321DDC"/>
    <w:rsid w:val="0032775A"/>
    <w:rsid w:val="0033342D"/>
    <w:rsid w:val="003342CD"/>
    <w:rsid w:val="00336D12"/>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544B"/>
    <w:rsid w:val="003D7001"/>
    <w:rsid w:val="003E6247"/>
    <w:rsid w:val="003F4297"/>
    <w:rsid w:val="003F5DAE"/>
    <w:rsid w:val="003F5F3D"/>
    <w:rsid w:val="003F7CA2"/>
    <w:rsid w:val="004128EE"/>
    <w:rsid w:val="00427C7D"/>
    <w:rsid w:val="00431CB0"/>
    <w:rsid w:val="0046042C"/>
    <w:rsid w:val="0048106F"/>
    <w:rsid w:val="0048126B"/>
    <w:rsid w:val="004825CE"/>
    <w:rsid w:val="004836A6"/>
    <w:rsid w:val="00492EF4"/>
    <w:rsid w:val="004947C9"/>
    <w:rsid w:val="00495781"/>
    <w:rsid w:val="00497365"/>
    <w:rsid w:val="004A7556"/>
    <w:rsid w:val="004B0BF6"/>
    <w:rsid w:val="004C1EDF"/>
    <w:rsid w:val="004C49F3"/>
    <w:rsid w:val="004C6B2D"/>
    <w:rsid w:val="0050103C"/>
    <w:rsid w:val="005041C6"/>
    <w:rsid w:val="00504C8B"/>
    <w:rsid w:val="00506EF6"/>
    <w:rsid w:val="005153AC"/>
    <w:rsid w:val="005160AB"/>
    <w:rsid w:val="00523CD9"/>
    <w:rsid w:val="00540C55"/>
    <w:rsid w:val="00551881"/>
    <w:rsid w:val="005528F6"/>
    <w:rsid w:val="0058578F"/>
    <w:rsid w:val="00586A35"/>
    <w:rsid w:val="005927BE"/>
    <w:rsid w:val="00596082"/>
    <w:rsid w:val="00596F2A"/>
    <w:rsid w:val="005B2ED3"/>
    <w:rsid w:val="005B493F"/>
    <w:rsid w:val="005C0062"/>
    <w:rsid w:val="005C3D72"/>
    <w:rsid w:val="005C5E36"/>
    <w:rsid w:val="005D0695"/>
    <w:rsid w:val="005D0CCE"/>
    <w:rsid w:val="005D7E6E"/>
    <w:rsid w:val="005E22A3"/>
    <w:rsid w:val="005F30FF"/>
    <w:rsid w:val="00607A60"/>
    <w:rsid w:val="0061273A"/>
    <w:rsid w:val="00612C56"/>
    <w:rsid w:val="00612E4E"/>
    <w:rsid w:val="006317A6"/>
    <w:rsid w:val="0063608B"/>
    <w:rsid w:val="00644AC8"/>
    <w:rsid w:val="00650463"/>
    <w:rsid w:val="006514CD"/>
    <w:rsid w:val="0065275A"/>
    <w:rsid w:val="00654D92"/>
    <w:rsid w:val="00660A05"/>
    <w:rsid w:val="00670649"/>
    <w:rsid w:val="00675128"/>
    <w:rsid w:val="0069472B"/>
    <w:rsid w:val="00694749"/>
    <w:rsid w:val="006978B2"/>
    <w:rsid w:val="006A22F6"/>
    <w:rsid w:val="006A29E8"/>
    <w:rsid w:val="006B4623"/>
    <w:rsid w:val="006C4BE3"/>
    <w:rsid w:val="006D0E9B"/>
    <w:rsid w:val="006D2239"/>
    <w:rsid w:val="006E0D12"/>
    <w:rsid w:val="006E4407"/>
    <w:rsid w:val="006E7653"/>
    <w:rsid w:val="006F050A"/>
    <w:rsid w:val="006F1681"/>
    <w:rsid w:val="00701FA6"/>
    <w:rsid w:val="0070306F"/>
    <w:rsid w:val="0070473B"/>
    <w:rsid w:val="0070531E"/>
    <w:rsid w:val="00717FB2"/>
    <w:rsid w:val="007249CB"/>
    <w:rsid w:val="00727914"/>
    <w:rsid w:val="00727EBD"/>
    <w:rsid w:val="00732243"/>
    <w:rsid w:val="00732D22"/>
    <w:rsid w:val="00743328"/>
    <w:rsid w:val="007451FF"/>
    <w:rsid w:val="00745373"/>
    <w:rsid w:val="00747E69"/>
    <w:rsid w:val="00751EC1"/>
    <w:rsid w:val="00752225"/>
    <w:rsid w:val="00753548"/>
    <w:rsid w:val="00764059"/>
    <w:rsid w:val="007647B0"/>
    <w:rsid w:val="00765265"/>
    <w:rsid w:val="007800CE"/>
    <w:rsid w:val="00780227"/>
    <w:rsid w:val="00793451"/>
    <w:rsid w:val="00793808"/>
    <w:rsid w:val="0079682F"/>
    <w:rsid w:val="00797D60"/>
    <w:rsid w:val="007A3F4E"/>
    <w:rsid w:val="007A481F"/>
    <w:rsid w:val="007A502C"/>
    <w:rsid w:val="007A579F"/>
    <w:rsid w:val="007C57E7"/>
    <w:rsid w:val="007D3C28"/>
    <w:rsid w:val="007E0B4F"/>
    <w:rsid w:val="007E7648"/>
    <w:rsid w:val="007F2D1D"/>
    <w:rsid w:val="00802E06"/>
    <w:rsid w:val="008051C3"/>
    <w:rsid w:val="00810CE2"/>
    <w:rsid w:val="008150D4"/>
    <w:rsid w:val="00824131"/>
    <w:rsid w:val="008313F7"/>
    <w:rsid w:val="0083735E"/>
    <w:rsid w:val="00837CBF"/>
    <w:rsid w:val="00843705"/>
    <w:rsid w:val="00847A31"/>
    <w:rsid w:val="00850D0C"/>
    <w:rsid w:val="0085553A"/>
    <w:rsid w:val="00871E83"/>
    <w:rsid w:val="0089066F"/>
    <w:rsid w:val="00891A1D"/>
    <w:rsid w:val="008949E1"/>
    <w:rsid w:val="008A665A"/>
    <w:rsid w:val="008B1EFD"/>
    <w:rsid w:val="008B710D"/>
    <w:rsid w:val="008C6E83"/>
    <w:rsid w:val="008C72C9"/>
    <w:rsid w:val="008D4A83"/>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B00DC"/>
    <w:rsid w:val="009B7559"/>
    <w:rsid w:val="009D3C3B"/>
    <w:rsid w:val="009D46EA"/>
    <w:rsid w:val="009E56C5"/>
    <w:rsid w:val="009F2833"/>
    <w:rsid w:val="00A012F5"/>
    <w:rsid w:val="00A12291"/>
    <w:rsid w:val="00A15152"/>
    <w:rsid w:val="00A155F9"/>
    <w:rsid w:val="00A164B7"/>
    <w:rsid w:val="00A21DEF"/>
    <w:rsid w:val="00A319FD"/>
    <w:rsid w:val="00A462C6"/>
    <w:rsid w:val="00A55023"/>
    <w:rsid w:val="00A739CB"/>
    <w:rsid w:val="00A75047"/>
    <w:rsid w:val="00A8507F"/>
    <w:rsid w:val="00A91E16"/>
    <w:rsid w:val="00A95518"/>
    <w:rsid w:val="00AA10C4"/>
    <w:rsid w:val="00AA57D8"/>
    <w:rsid w:val="00AA5BF1"/>
    <w:rsid w:val="00AA6E2B"/>
    <w:rsid w:val="00AB0733"/>
    <w:rsid w:val="00AB21AA"/>
    <w:rsid w:val="00AB2327"/>
    <w:rsid w:val="00AC4630"/>
    <w:rsid w:val="00AD0294"/>
    <w:rsid w:val="00AE1E64"/>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A00DF"/>
    <w:rsid w:val="00BA5432"/>
    <w:rsid w:val="00BA7DD8"/>
    <w:rsid w:val="00BB333E"/>
    <w:rsid w:val="00BC5BDA"/>
    <w:rsid w:val="00BD304D"/>
    <w:rsid w:val="00BD61E5"/>
    <w:rsid w:val="00BD793B"/>
    <w:rsid w:val="00BE7F58"/>
    <w:rsid w:val="00BF3D6B"/>
    <w:rsid w:val="00C03DCA"/>
    <w:rsid w:val="00C06212"/>
    <w:rsid w:val="00C1142C"/>
    <w:rsid w:val="00C14A4F"/>
    <w:rsid w:val="00C32613"/>
    <w:rsid w:val="00C41AE1"/>
    <w:rsid w:val="00C4538D"/>
    <w:rsid w:val="00C461FF"/>
    <w:rsid w:val="00C50274"/>
    <w:rsid w:val="00C5423E"/>
    <w:rsid w:val="00C72FAB"/>
    <w:rsid w:val="00C822AF"/>
    <w:rsid w:val="00C90428"/>
    <w:rsid w:val="00C9472A"/>
    <w:rsid w:val="00C95C6E"/>
    <w:rsid w:val="00C96C07"/>
    <w:rsid w:val="00CA17C5"/>
    <w:rsid w:val="00CB6709"/>
    <w:rsid w:val="00CC2FE0"/>
    <w:rsid w:val="00CD4663"/>
    <w:rsid w:val="00CE752A"/>
    <w:rsid w:val="00CF2B1E"/>
    <w:rsid w:val="00CF39D4"/>
    <w:rsid w:val="00D04103"/>
    <w:rsid w:val="00D24AA4"/>
    <w:rsid w:val="00D31EBA"/>
    <w:rsid w:val="00D341FA"/>
    <w:rsid w:val="00D34435"/>
    <w:rsid w:val="00D47BCC"/>
    <w:rsid w:val="00D658B3"/>
    <w:rsid w:val="00D70EDE"/>
    <w:rsid w:val="00D9290D"/>
    <w:rsid w:val="00DC112E"/>
    <w:rsid w:val="00DC1C49"/>
    <w:rsid w:val="00DC4B20"/>
    <w:rsid w:val="00DC4FC9"/>
    <w:rsid w:val="00DD476E"/>
    <w:rsid w:val="00DD5335"/>
    <w:rsid w:val="00DE353E"/>
    <w:rsid w:val="00DF0E97"/>
    <w:rsid w:val="00E016B0"/>
    <w:rsid w:val="00E04496"/>
    <w:rsid w:val="00E13CDC"/>
    <w:rsid w:val="00E2212F"/>
    <w:rsid w:val="00E238F9"/>
    <w:rsid w:val="00E251D2"/>
    <w:rsid w:val="00E270D5"/>
    <w:rsid w:val="00E27659"/>
    <w:rsid w:val="00E320C3"/>
    <w:rsid w:val="00E36BC9"/>
    <w:rsid w:val="00E51B27"/>
    <w:rsid w:val="00E71D5C"/>
    <w:rsid w:val="00E83192"/>
    <w:rsid w:val="00E834D5"/>
    <w:rsid w:val="00E87E12"/>
    <w:rsid w:val="00E943FF"/>
    <w:rsid w:val="00EA18AE"/>
    <w:rsid w:val="00EA33FF"/>
    <w:rsid w:val="00EB0977"/>
    <w:rsid w:val="00EB13C5"/>
    <w:rsid w:val="00EB2E12"/>
    <w:rsid w:val="00EB3F7D"/>
    <w:rsid w:val="00EB49FA"/>
    <w:rsid w:val="00EB5854"/>
    <w:rsid w:val="00EC4D39"/>
    <w:rsid w:val="00EC5E10"/>
    <w:rsid w:val="00EF03F0"/>
    <w:rsid w:val="00F06E88"/>
    <w:rsid w:val="00F07F37"/>
    <w:rsid w:val="00F1257F"/>
    <w:rsid w:val="00F13DDE"/>
    <w:rsid w:val="00F2664D"/>
    <w:rsid w:val="00F30418"/>
    <w:rsid w:val="00F3215E"/>
    <w:rsid w:val="00F3231F"/>
    <w:rsid w:val="00F41CC2"/>
    <w:rsid w:val="00F52D73"/>
    <w:rsid w:val="00F65834"/>
    <w:rsid w:val="00F66B6F"/>
    <w:rsid w:val="00F74DA3"/>
    <w:rsid w:val="00F91DFA"/>
    <w:rsid w:val="00F95288"/>
    <w:rsid w:val="00F9791B"/>
    <w:rsid w:val="00FA313D"/>
    <w:rsid w:val="00FB2AFC"/>
    <w:rsid w:val="00FB7A39"/>
    <w:rsid w:val="00FC0E1D"/>
    <w:rsid w:val="00FC53DA"/>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58121B95"/>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586A35"/>
    <w:pPr>
      <w:spacing w:line="264" w:lineRule="auto"/>
      <w:ind w:firstLine="240"/>
    </w:pPr>
    <w:rPr>
      <w:rFonts w:ascii="Linux Libertine" w:eastAsiaTheme="minorHAnsi" w:hAnsi="Linux Libertine" w:cstheme="minorBidi"/>
      <w:sz w:val="18"/>
      <w:szCs w:val="22"/>
      <w:lang w:val="en-US" w:eastAsia="en-US"/>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pPr>
      <w:ind w:firstLine="0"/>
    </w:pPr>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jc w:val="both"/>
    </w:pPr>
  </w:style>
  <w:style w:type="paragraph" w:customStyle="1" w:styleId="PullQuote">
    <w:name w:val="PullQuote"/>
    <w:basedOn w:val="Para"/>
    <w:qFormat/>
    <w:rsid w:val="00586A35"/>
    <w:pPr>
      <w:shd w:val="clear" w:color="auto" w:fill="EAF1DD" w:themeFill="accent3" w:themeFillTint="33"/>
      <w:ind w:left="1134" w:right="1134" w:firstLine="0"/>
      <w:jc w:val="both"/>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email@email.com" TargetMode="External"/><Relationship Id="rId18" Type="http://schemas.openxmlformats.org/officeDocument/2006/relationships/image" Target="media/image2.jp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oleObject" Target="embeddings/oleObject2.bin"/><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wmf"/><Relationship Id="rId10" Type="http://schemas.openxmlformats.org/officeDocument/2006/relationships/header" Target="header2.xml"/><Relationship Id="rId19" Type="http://schemas.openxmlformats.org/officeDocument/2006/relationships/hyperlink" Target="https://doi.org/"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acm.org/publications/proceedings-templ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ACM.dotm</Template>
  <TotalTime>5</TotalTime>
  <Pages>2</Pages>
  <Words>1281</Words>
  <Characters>7302</Characters>
  <Application>Microsoft Office Word</Application>
  <DocSecurity>0</DocSecurity>
  <Lines>60</Lines>
  <Paragraphs>17</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8566</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Craig Rodkin</cp:lastModifiedBy>
  <cp:revision>4</cp:revision>
  <cp:lastPrinted>2018-05-22T11:24:00Z</cp:lastPrinted>
  <dcterms:created xsi:type="dcterms:W3CDTF">2019-10-29T19:38:00Z</dcterms:created>
  <dcterms:modified xsi:type="dcterms:W3CDTF">2025-07-09T15:06:00Z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