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A CPU-Scale Conversational Music Recommender: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 xml:space="preserve">We present a conversational music recommender for the TalkPlayData Challenge (ACM RecSys 2026) that ranks tracks and generates the assistant response at each turn of a multi-turn dialogue, and that trains and serves in its entirety on a single consumer desktop with no discrete GPU. The system has three stages: (i) a </w:t>
      </w:r>
      <w:r>
        <w:rPr>
          <w:i/>
        </w:rPr>
        <w:t>recall</w:t>
      </w:r>
      <w:r>
        <w:t xml:space="preserve"> stage that fuses nine inexpensive retrievers into a candidate pool of roughly three thousand tracks; (ii) a </w:t>
      </w:r>
      <w:r>
        <w:rPr>
          <w:i/>
        </w:rPr>
        <w:t>rescore</w:t>
      </w:r>
      <w:r>
        <w:t xml:space="preserve"> stage that arbitrates the pool with a gradient-boosted learning-to-rank model over 67 per-candidate features; and (iii) a decoupled </w:t>
      </w:r>
      <w:r>
        <w:rPr>
          <w:i/>
        </w:rPr>
        <w:t>response</w:t>
      </w:r>
      <w:r>
        <w:t xml:space="preserve"> stage. The only trained neural component is a LoRA adaptation of a 279M-parameter multilingual text encoder, fine-tuned on (dialogue, next-track) pairs with a role-tagged dialogue anchor. We show that correctly handling the dataset's goal-progress feedback signal, which is both off-by-one in time and contaminated with user-rejected tracks, is the single highest-value engineering step, and that the same feedback channel can be reconstructed from raw dialogue text when it is withheld at test time. On the blind generalization set our system reaches a composite score of 0.49.</w:t>
      </w:r>
    </w:p>
    <w:p>
      <w:pPr>
        <w:pStyle w:val="CCSHead"/>
      </w:pPr>
      <w:r>
        <w:t>CCS CONCEPTS</w:t>
      </w:r>
    </w:p>
    <w:p>
      <w:pPr>
        <w:pStyle w:val="CCSDescription"/>
      </w:pPr>
      <w:r>
        <w:t>Information systems -&gt; Recommender systems; Learning to rank; Language models.</w:t>
      </w:r>
    </w:p>
    <w:p>
      <w:pPr>
        <w:pStyle w:val="CCSDescription"/>
      </w:pPr>
      <w:r>
        <w:t>Computing methodologies -&gt; Learning latent representations.</w:t>
      </w:r>
    </w:p>
    <w:p>
      <w:pPr>
        <w:pStyle w:val="KeyWordHead"/>
      </w:pPr>
      <w:r>
        <w:t>KEYWORDS</w:t>
      </w:r>
    </w:p>
    <w:p>
      <w:pPr>
        <w:pStyle w:val="KeyWords"/>
      </w:pPr>
      <w:r>
        <w:t>conversational recommendation, music recommendation, learning to rank, dense retrieval, LoRA fine-tuning, preference elicitation, CPU-scale systems</w:t>
      </w:r>
    </w:p>
    <w:p>
      <w:pPr>
        <w:pStyle w:val="Head1"/>
      </w:pPr>
      <w:r>
        <w:t>1 Introduction</w:t>
      </w:r>
    </w:p>
    <w:p>
      <w:pPr>
        <w:pStyle w:val="Para"/>
      </w:pPr>
      <w:r>
        <w:t>The TalkPlayData Challenge frames music recommendation as a multi-turn dialogue. At each turn the system must (a) rank 20 tracks from a catalog of 47,071 such that the single logged next track ranks high, and (b) produce the assistant's natural-language reply. Submissions are scored by a composite metric:</w:t>
      </w:r>
    </w:p>
    <w:p>
      <w:pPr>
        <w:pStyle w:val="Quote"/>
      </w:pPr>
      <w:r>
        <w:t>Score = 0.50 * nDCG@20 + 0.10 * CatalogDiversity + 0.10 * LexicalDiversity + 0.30 * JudgeNorm,</w:t>
      </w:r>
    </w:p>
    <w:p>
      <w:pPr>
        <w:pStyle w:val="Quote"/>
      </w:pPr>
      <w:r>
        <w:t>with JudgeNorm = (judge_score - 1) / 4.</w:t>
      </w:r>
    </w:p>
    <w:p>
      <w:pPr>
        <w:pStyle w:val="Para"/>
      </w:pPr>
      <w:r>
        <w:t>The judge is a large language model that reads only the response text along two disclosed axes (personalization, explanation quality); it never sees the track list. With one relevant item per turn, nDCG@20 reduces to 1/log2(rank+1) when the gold track appears in the top 20 and 0 otherwise.</w:t>
      </w:r>
    </w:p>
    <w:p>
      <w:pPr>
        <w:pStyle w:val="Para"/>
      </w:pPr>
      <w:r>
        <w:t>The blind generalization set ("Blind B") is deliberately harder than the labeled data: the conversation goal, the per-turn goal-progress assessments, and the model's internal "thoughts" are all removed, and half of its 80 sessions are cold-start with no user identifier or profile.</w:t>
      </w:r>
    </w:p>
    <w:p>
      <w:pPr>
        <w:pStyle w:val="Para"/>
      </w:pPr>
      <w:r>
        <w:t>This paper describes the retrieval-and-ranking system behind our best blind result (composite 0.49). We focus on three components: the fused recall architecture and the exact construction of each retriever (Section 3); the LoRA-adapted dialogue encoder and the goal-progress feedback fix that made it work (Section 4); and the learning-to-rank rescorer and its full feature set (Section 5). Section 6 gives a compact account of the iterative gains, Section 7 the efficiency profile, and Section 8 concludes.</w:t>
      </w:r>
    </w:p>
    <w:p>
      <w:pPr>
        <w:pStyle w:val="Para"/>
      </w:pPr>
      <w:r>
        <w:rPr>
          <w:b/>
        </w:rPr>
        <w:t>Contributions.</w:t>
      </w:r>
    </w:p>
    <w:p>
      <w:pPr>
        <w:pStyle w:val="ListParagraph"/>
      </w:pPr>
      <w:r>
        <w:t xml:space="preserve">A recall design that treats retrieval as </w:t>
      </w:r>
      <w:r>
        <w:rPr>
          <w:i/>
        </w:rPr>
        <w:t>set union, not weighted fusion</w:t>
      </w:r>
      <w:r>
        <w:t>: nine independent retrievers each contribute candidates and per-source features, and a learned ranker decides how much to trust each. The strongest single feature is multi-source agreement.</w:t>
      </w:r>
    </w:p>
    <w:p>
      <w:pPr>
        <w:pStyle w:val="ListParagraph"/>
      </w:pPr>
      <w:r>
        <w:t xml:space="preserve">A dialogue-aware retriever: a LoRA fine-tune of </w:t>
      </w:r>
      <w:r>
        <w:rPr>
          <w:rFonts w:ascii="Courier New" w:hAnsi="Courier New"/>
        </w:rPr>
        <w:t>multilingual-e5-base</w:t>
      </w:r>
      <w:r>
        <w:t xml:space="preserve"> on a role-tagged anchor that encodes prior turns, recommendations, and per-turn user reactions.</w:t>
      </w:r>
    </w:p>
    <w:p>
      <w:pPr>
        <w:pStyle w:val="ListParagraph"/>
      </w:pPr>
      <w:r>
        <w:t>A treatment of the goal-progress feedback signal, which we show is off-by-one in time and contaminated with rejected tracks, together with a test-time reconstruction of that signal from raw dialogue when it is withheld.</w:t>
      </w:r>
    </w:p>
    <w:p>
      <w:pPr>
        <w:pStyle w:val="Head1"/>
      </w:pPr>
      <w:r>
        <w:t>2 System Overview</w:t>
      </w:r>
    </w:p>
    <w:p>
      <w:pPr>
        <w:pStyle w:val="Para"/>
      </w:pPr>
      <w:r>
        <w:t>The pipeline is three sequential stages.</w:t>
      </w:r>
    </w:p>
    <w:p>
      <w:pPr>
        <w:pStyle w:val="Para"/>
      </w:pPr>
      <w:r>
        <w:rPr>
          <w:b/>
        </w:rPr>
        <w:t>Recall.</w:t>
      </w:r>
      <w:r>
        <w:t xml:space="preserve"> Nine retrievers run per turn and their outputs are merged into one deduplicated candidate pool (mean ~3,100 tracks). No single retriever exceeds ~59% gold recall at 500 candidates; the fused pool reaches ~89% on the blind-simulated holdout.</w:t>
      </w:r>
    </w:p>
    <w:p>
      <w:pPr>
        <w:pStyle w:val="Para"/>
      </w:pPr>
      <w:r>
        <w:rPr>
          <w:b/>
        </w:rPr>
        <w:t>Rescore.</w:t>
      </w:r>
      <w:r>
        <w:t xml:space="preserve"> A LightGBM LambdaMART model scores every pooled candidate from 67 features and emits the top 20. This learned ranker replaces hand-tuned score fusion and lets any retriever contribute candidates without a manually assigned weight.</w:t>
      </w:r>
    </w:p>
    <w:p>
      <w:pPr>
        <w:pStyle w:val="Para"/>
      </w:pPr>
      <w:r>
        <w:rPr>
          <w:b/>
        </w:rPr>
        <w:t>Respond.</w:t>
      </w:r>
      <w:r>
        <w:t xml:space="preserve"> Because the judge reads only text, response generation is decoupled from ranking: the response may describe the ranked list but never reorders it. This stage is out of scope here.</w:t>
      </w:r>
    </w:p>
    <w:p>
      <w:pPr>
        <w:pStyle w:val="Para"/>
      </w:pPr>
      <w:r>
        <w:t>All three stages run on one consumer machine (Apple M4, 16 GB unified memory, no discrete GPU). The only trained neural component is the LoRA encoder of Section 4.</w:t>
      </w:r>
    </w:p>
    <w:p>
      <w:pPr>
        <w:pStyle w:val="Head1"/>
      </w:pPr>
      <w:r>
        <w:t>3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5.</w:t>
      </w:r>
    </w:p>
    <w:p>
      <w:pPr>
        <w:pStyle w:val="TableCaption"/>
      </w:pPr>
      <w:r>
        <w:t>Table 1: The nine recall sources.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w:t>
            </w:r>
          </w:p>
        </w:tc>
        <w:tc>
          <w:tcPr>
            <w:tcW w:type="dxa" w:w="2520"/>
          </w:tcPr>
          <w:p>
            <w:r/>
            <w:r>
              <w:rPr>
                <w:b/>
                <w:sz w:val="18"/>
              </w:rPr>
              <w:t>Source</w:t>
            </w:r>
          </w:p>
        </w:tc>
        <w:tc>
          <w:tcPr>
            <w:tcW w:type="dxa" w:w="2520"/>
          </w:tcPr>
          <w:p>
            <w:r/>
            <w:r>
              <w:rPr>
                <w:b/>
                <w:sz w:val="18"/>
              </w:rPr>
              <w:t>Budget</w:t>
            </w:r>
          </w:p>
        </w:tc>
        <w:tc>
          <w:tcPr>
            <w:tcW w:type="dxa" w:w="2520"/>
          </w:tcPr>
          <w:p>
            <w:r/>
            <w:r>
              <w:rPr>
                <w:b/>
                <w:sz w:val="18"/>
              </w:rPr>
              <w:t>Signal</w:t>
            </w:r>
          </w:p>
        </w:tc>
      </w:tr>
      <w:tr>
        <w:tc>
          <w:tcPr>
            <w:tcW w:type="dxa" w:w="2520"/>
          </w:tcPr>
          <w:p>
            <w:r>
              <w:rPr>
                <w:sz w:val="18"/>
              </w:rPr>
            </w:r>
            <w:r>
              <w:rPr>
                <w:sz w:val="18"/>
              </w:rPr>
              <w:t>1</w:t>
            </w:r>
          </w:p>
        </w:tc>
        <w:tc>
          <w:tcPr>
            <w:tcW w:type="dxa" w:w="2520"/>
          </w:tcPr>
          <w:p>
            <w:r>
              <w:rPr>
                <w:sz w:val="18"/>
              </w:rPr>
            </w:r>
            <w:r>
              <w:rPr>
                <w:sz w:val="18"/>
              </w:rPr>
              <w:t>BM25 (Okapi)</w:t>
            </w:r>
          </w:p>
        </w:tc>
        <w:tc>
          <w:tcPr>
            <w:tcW w:type="dxa" w:w="2520"/>
          </w:tcPr>
          <w:p>
            <w:r>
              <w:rPr>
                <w:sz w:val="18"/>
              </w:rPr>
            </w:r>
            <w:r>
              <w:rPr>
                <w:sz w:val="18"/>
              </w:rPr>
              <w:t>top-500</w:t>
            </w:r>
          </w:p>
        </w:tc>
        <w:tc>
          <w:tcPr>
            <w:tcW w:type="dxa" w:w="2520"/>
          </w:tcPr>
          <w:p>
            <w:r>
              <w:rPr>
                <w:sz w:val="18"/>
              </w:rPr>
            </w:r>
            <w:r>
              <w:rPr>
                <w:sz w:val="18"/>
              </w:rPr>
              <w:t>lexical match on name/artist/album/tags</w:t>
            </w:r>
          </w:p>
        </w:tc>
      </w:tr>
      <w:tr>
        <w:tc>
          <w:tcPr>
            <w:tcW w:type="dxa" w:w="2520"/>
          </w:tcPr>
          <w:p>
            <w:r>
              <w:rPr>
                <w:sz w:val="18"/>
              </w:rPr>
            </w:r>
            <w:r>
              <w:rPr>
                <w:sz w:val="18"/>
              </w:rPr>
              <w:t>2</w:t>
            </w:r>
          </w:p>
        </w:tc>
        <w:tc>
          <w:tcPr>
            <w:tcW w:type="dxa" w:w="2520"/>
          </w:tcPr>
          <w:p>
            <w:r>
              <w:rPr>
                <w:sz w:val="18"/>
              </w:rPr>
            </w:r>
            <w:r>
              <w:rPr>
                <w:sz w:val="18"/>
              </w:rPr>
              <w:t>Two-tower ANN</w:t>
            </w:r>
          </w:p>
        </w:tc>
        <w:tc>
          <w:tcPr>
            <w:tcW w:type="dxa" w:w="2520"/>
          </w:tcPr>
          <w:p>
            <w:r>
              <w:rPr>
                <w:sz w:val="18"/>
              </w:rPr>
            </w:r>
            <w:r>
              <w:rPr>
                <w:sz w:val="18"/>
              </w:rPr>
              <w:t>top-2000</w:t>
            </w:r>
          </w:p>
        </w:tc>
        <w:tc>
          <w:tcPr>
            <w:tcW w:type="dxa" w:w="2520"/>
          </w:tcPr>
          <w:p>
            <w:r>
              <w:rPr>
                <w:sz w:val="18"/>
              </w:rPr>
            </w:r>
            <w:r>
              <w:rPr>
                <w:sz w:val="18"/>
              </w:rPr>
              <w:t>fine-tuned conversational-intent match</w:t>
            </w:r>
          </w:p>
        </w:tc>
      </w:tr>
      <w:tr>
        <w:tc>
          <w:tcPr>
            <w:tcW w:type="dxa" w:w="2520"/>
          </w:tcPr>
          <w:p>
            <w:r>
              <w:rPr>
                <w:sz w:val="18"/>
              </w:rPr>
            </w:r>
            <w:r>
              <w:rPr>
                <w:sz w:val="18"/>
              </w:rPr>
              <w:t>3</w:t>
            </w:r>
          </w:p>
        </w:tc>
        <w:tc>
          <w:tcPr>
            <w:tcW w:type="dxa" w:w="2520"/>
          </w:tcPr>
          <w:p>
            <w:r>
              <w:rPr>
                <w:sz w:val="18"/>
              </w:rPr>
            </w:r>
            <w:r>
              <w:rPr>
                <w:sz w:val="18"/>
              </w:rPr>
              <w:t>Last-track NN</w:t>
            </w:r>
          </w:p>
        </w:tc>
        <w:tc>
          <w:tcPr>
            <w:tcW w:type="dxa" w:w="2520"/>
          </w:tcPr>
          <w:p>
            <w:r>
              <w:rPr>
                <w:sz w:val="18"/>
              </w:rPr>
            </w:r>
            <w:r>
              <w:rPr>
                <w:sz w:val="18"/>
              </w:rPr>
              <w:t>100 x last 2</w:t>
            </w:r>
          </w:p>
        </w:tc>
        <w:tc>
          <w:tcPr>
            <w:tcW w:type="dxa" w:w="2520"/>
          </w:tcPr>
          <w:p>
            <w:r>
              <w:rPr>
                <w:sz w:val="18"/>
              </w:rPr>
            </w:r>
            <w:r>
              <w:rPr>
                <w:sz w:val="18"/>
              </w:rPr>
              <w:t>"more like what just played"</w:t>
            </w:r>
          </w:p>
        </w:tc>
      </w:tr>
      <w:tr>
        <w:tc>
          <w:tcPr>
            <w:tcW w:type="dxa" w:w="2520"/>
          </w:tcPr>
          <w:p>
            <w:r>
              <w:rPr>
                <w:sz w:val="18"/>
              </w:rPr>
            </w:r>
            <w:r>
              <w:rPr>
                <w:sz w:val="18"/>
              </w:rPr>
              <w:t>4</w:t>
            </w:r>
          </w:p>
        </w:tc>
        <w:tc>
          <w:tcPr>
            <w:tcW w:type="dxa" w:w="2520"/>
          </w:tcPr>
          <w:p>
            <w:r>
              <w:rPr>
                <w:sz w:val="18"/>
              </w:rPr>
            </w:r>
            <w:r>
              <w:rPr>
                <w:sz w:val="18"/>
              </w:rPr>
              <w:t>Artist expansion</w:t>
            </w:r>
          </w:p>
        </w:tc>
        <w:tc>
          <w:tcPr>
            <w:tcW w:type="dxa" w:w="2520"/>
          </w:tcPr>
          <w:p>
            <w:r>
              <w:rPr>
                <w:sz w:val="18"/>
              </w:rPr>
            </w:r>
            <w:r>
              <w:rPr>
                <w:sz w:val="18"/>
              </w:rPr>
              <w:t>full discographies</w:t>
            </w:r>
          </w:p>
        </w:tc>
        <w:tc>
          <w:tcPr>
            <w:tcW w:type="dxa" w:w="2520"/>
          </w:tcPr>
          <w:p>
            <w:r>
              <w:rPr>
                <w:sz w:val="18"/>
              </w:rPr>
            </w:r>
            <w:r>
              <w:rPr>
                <w:sz w:val="18"/>
              </w:rPr>
              <w:t>tracks by any retrieved/mentioned artist</w:t>
            </w:r>
          </w:p>
        </w:tc>
      </w:tr>
      <w:tr>
        <w:tc>
          <w:tcPr>
            <w:tcW w:type="dxa" w:w="2520"/>
          </w:tcPr>
          <w:p>
            <w:r>
              <w:rPr>
                <w:sz w:val="18"/>
              </w:rPr>
            </w:r>
            <w:r>
              <w:rPr>
                <w:sz w:val="18"/>
              </w:rPr>
              <w:t>5</w:t>
            </w:r>
          </w:p>
        </w:tc>
        <w:tc>
          <w:tcPr>
            <w:tcW w:type="dxa" w:w="2520"/>
          </w:tcPr>
          <w:p>
            <w:r>
              <w:rPr>
                <w:sz w:val="18"/>
              </w:rPr>
            </w:r>
            <w:r>
              <w:rPr>
                <w:sz w:val="18"/>
              </w:rPr>
              <w:t>Qwen3-0.6B NN</w:t>
            </w:r>
          </w:p>
        </w:tc>
        <w:tc>
          <w:tcPr>
            <w:tcW w:type="dxa" w:w="2520"/>
          </w:tcPr>
          <w:p>
            <w:r>
              <w:rPr>
                <w:sz w:val="18"/>
              </w:rPr>
            </w:r>
            <w:r>
              <w:rPr>
                <w:sz w:val="18"/>
              </w:rPr>
              <w:t>top-500</w:t>
            </w:r>
          </w:p>
        </w:tc>
        <w:tc>
          <w:tcPr>
            <w:tcW w:type="dxa" w:w="2520"/>
          </w:tcPr>
          <w:p>
            <w:r>
              <w:rPr>
                <w:sz w:val="18"/>
              </w:rPr>
            </w:r>
            <w:r>
              <w:rPr>
                <w:sz w:val="18"/>
              </w:rPr>
              <w:t>second dense opinion, different embedding space</w:t>
            </w:r>
          </w:p>
        </w:tc>
      </w:tr>
      <w:tr>
        <w:tc>
          <w:tcPr>
            <w:tcW w:type="dxa" w:w="2520"/>
          </w:tcPr>
          <w:p>
            <w:r>
              <w:rPr>
                <w:sz w:val="18"/>
              </w:rPr>
            </w:r>
            <w:r>
              <w:rPr>
                <w:sz w:val="18"/>
              </w:rPr>
              <w:t>6</w:t>
            </w:r>
          </w:p>
        </w:tc>
        <w:tc>
          <w:tcPr>
            <w:tcW w:type="dxa" w:w="2520"/>
          </w:tcPr>
          <w:p>
            <w:r>
              <w:rPr>
                <w:sz w:val="18"/>
              </w:rPr>
            </w:r>
            <w:r>
              <w:rPr>
                <w:sz w:val="18"/>
              </w:rPr>
              <w:t>CF-BPR</w:t>
            </w:r>
          </w:p>
        </w:tc>
        <w:tc>
          <w:tcPr>
            <w:tcW w:type="dxa" w:w="2520"/>
          </w:tcPr>
          <w:p>
            <w:r>
              <w:rPr>
                <w:sz w:val="18"/>
              </w:rPr>
            </w:r>
            <w:r>
              <w:rPr>
                <w:sz w:val="18"/>
              </w:rPr>
              <w:t>top-200</w:t>
            </w:r>
          </w:p>
        </w:tc>
        <w:tc>
          <w:tcPr>
            <w:tcW w:type="dxa" w:w="2520"/>
          </w:tcPr>
          <w:p>
            <w:r>
              <w:rPr>
                <w:sz w:val="18"/>
              </w:rPr>
            </w:r>
            <w:r>
              <w:rPr>
                <w:sz w:val="18"/>
              </w:rPr>
              <w:t>collaborative signal, warm users only</w:t>
            </w:r>
          </w:p>
        </w:tc>
      </w:tr>
      <w:tr>
        <w:tc>
          <w:tcPr>
            <w:tcW w:type="dxa" w:w="2520"/>
          </w:tcPr>
          <w:p>
            <w:r>
              <w:rPr>
                <w:sz w:val="18"/>
              </w:rPr>
            </w:r>
            <w:r>
              <w:rPr>
                <w:sz w:val="18"/>
              </w:rPr>
              <w:t>7</w:t>
            </w:r>
          </w:p>
        </w:tc>
        <w:tc>
          <w:tcPr>
            <w:tcW w:type="dxa" w:w="2520"/>
          </w:tcPr>
          <w:p>
            <w:r>
              <w:rPr>
                <w:sz w:val="18"/>
              </w:rPr>
            </w:r>
            <w:r>
              <w:rPr>
                <w:sz w:val="18"/>
              </w:rPr>
              <w:t>Session-mean NN</w:t>
            </w:r>
          </w:p>
        </w:tc>
        <w:tc>
          <w:tcPr>
            <w:tcW w:type="dxa" w:w="2520"/>
          </w:tcPr>
          <w:p>
            <w:r>
              <w:rPr>
                <w:sz w:val="18"/>
              </w:rPr>
            </w:r>
            <w:r>
              <w:rPr>
                <w:sz w:val="18"/>
              </w:rPr>
              <w:t>top-100</w:t>
            </w:r>
          </w:p>
        </w:tc>
        <w:tc>
          <w:tcPr>
            <w:tcW w:type="dxa" w:w="2520"/>
          </w:tcPr>
          <w:p>
            <w:r>
              <w:rPr>
                <w:sz w:val="18"/>
              </w:rPr>
            </w:r>
            <w:r>
              <w:rPr>
                <w:sz w:val="18"/>
              </w:rPr>
              <w:t>neighbors of the session taste centroid</w:t>
            </w:r>
          </w:p>
        </w:tc>
      </w:tr>
      <w:tr>
        <w:tc>
          <w:tcPr>
            <w:tcW w:type="dxa" w:w="2520"/>
          </w:tcPr>
          <w:p>
            <w:r>
              <w:rPr>
                <w:sz w:val="18"/>
              </w:rPr>
            </w:r>
            <w:r>
              <w:rPr>
                <w:sz w:val="18"/>
              </w:rPr>
              <w:t>8</w:t>
            </w:r>
          </w:p>
        </w:tc>
        <w:tc>
          <w:tcPr>
            <w:tcW w:type="dxa" w:w="2520"/>
          </w:tcPr>
          <w:p>
            <w:r>
              <w:rPr>
                <w:sz w:val="18"/>
              </w:rPr>
            </w:r>
            <w:r>
              <w:rPr>
                <w:sz w:val="18"/>
              </w:rPr>
              <w:t>Co-occurrence</w:t>
            </w:r>
          </w:p>
        </w:tc>
        <w:tc>
          <w:tcPr>
            <w:tcW w:type="dxa" w:w="2520"/>
          </w:tcPr>
          <w:p>
            <w:r>
              <w:rPr>
                <w:sz w:val="18"/>
              </w:rPr>
            </w:r>
            <w:r>
              <w:rPr>
                <w:sz w:val="18"/>
              </w:rPr>
              <w:t>300/150/50</w:t>
            </w:r>
          </w:p>
        </w:tc>
        <w:tc>
          <w:tcPr>
            <w:tcW w:type="dxa" w:w="2520"/>
          </w:tcPr>
          <w:p>
            <w:r>
              <w:rPr>
                <w:sz w:val="18"/>
              </w:rPr>
            </w:r>
            <w:r>
              <w:rPr>
                <w:sz w:val="18"/>
              </w:rPr>
              <w:t>tracks that followed recent history tracks</w:t>
            </w:r>
          </w:p>
        </w:tc>
      </w:tr>
      <w:tr>
        <w:tc>
          <w:tcPr>
            <w:tcW w:type="dxa" w:w="2520"/>
          </w:tcPr>
          <w:p>
            <w:r>
              <w:rPr>
                <w:sz w:val="18"/>
              </w:rPr>
            </w:r>
            <w:r>
              <w:rPr>
                <w:sz w:val="18"/>
              </w:rPr>
              <w:t>9</w:t>
            </w:r>
          </w:p>
        </w:tc>
        <w:tc>
          <w:tcPr>
            <w:tcW w:type="dxa" w:w="2520"/>
          </w:tcPr>
          <w:p>
            <w:r>
              <w:rPr>
                <w:sz w:val="18"/>
              </w:rPr>
            </w:r>
            <w:r>
              <w:rPr>
                <w:sz w:val="18"/>
              </w:rPr>
              <w:t>SASRec buckets</w:t>
            </w:r>
          </w:p>
        </w:tc>
        <w:tc>
          <w:tcPr>
            <w:tcW w:type="dxa" w:w="2520"/>
          </w:tcPr>
          <w:p>
            <w:r>
              <w:rPr>
                <w:sz w:val="18"/>
              </w:rPr>
            </w:r>
            <w:r>
              <w:rPr>
                <w:sz w:val="18"/>
              </w:rPr>
              <w:t>cap 300</w:t>
            </w:r>
          </w:p>
        </w:tc>
        <w:tc>
          <w:tcPr>
            <w:tcW w:type="dxa" w:w="2520"/>
          </w:tcPr>
          <w:p>
            <w:r>
              <w:rPr>
                <w:sz w:val="18"/>
              </w:rPr>
            </w:r>
            <w:r>
              <w:rPr>
                <w:sz w:val="18"/>
              </w:rPr>
              <w:t>next semantic-bucket expansion (optional)</w:t>
            </w:r>
          </w:p>
        </w:tc>
      </w:tr>
    </w:tbl>
    <w:p>
      <w:pPr>
        <w:pStyle w:val="Head2"/>
      </w:pPr>
      <w:r>
        <w:t>3.1 Lexical retrieval (source 1)</w:t>
      </w:r>
    </w:p>
    <w:p>
      <w:pPr>
        <w:pStyle w:val="Para"/>
      </w:pPr>
      <w:r>
        <w:t xml:space="preserve">BM25 (Okapi, via </w:t>
      </w:r>
      <w:r>
        <w:rPr>
          <w:rFonts w:ascii="Courier New" w:hAnsi="Courier New"/>
        </w:rPr>
        <w:t>bm25s</w:t>
      </w:r>
      <w:r>
        <w:t xml:space="preserve">) indexes each track's name, artist, album, and tag list. Indexing the </w:t>
      </w:r>
      <w:r>
        <w:rPr>
          <w:i/>
        </w:rPr>
        <w:t>tag list</w:t>
      </w:r>
      <w:r>
        <w:t xml:space="preserve"> is important: conversational requests use genre/mood/era vocabulary ("something mellow and acoustic") that only the tags carry. The query is assembled from the latest user message, the stated goal, the listener culture, the last four played tracks (name/artist/tags), and the last four dialogue turns. Turns older than four are deliberately excluded: adding them dilutes the inverse-document-frequency mass of the current request. Turns whose vocabulary misses the index are smoothed by a score floor (0.05) so they are not dropped from the pool.</w:t>
      </w:r>
    </w:p>
    <w:p>
      <w:pPr>
        <w:pStyle w:val="Head2"/>
      </w:pPr>
      <w:r>
        <w:t>3.2 Dense retrieval (sources 2, 5)</w:t>
      </w:r>
    </w:p>
    <w:p>
      <w:pPr>
        <w:pStyle w:val="Para"/>
      </w:pPr>
      <w:r>
        <w:t>Two independent dense retrievers provide complementary embedding spaces.</w:t>
      </w:r>
    </w:p>
    <w:p>
      <w:pPr>
        <w:pStyle w:val="Para"/>
      </w:pPr>
      <w:r>
        <w:rPr>
          <w:i/>
        </w:rPr>
        <w:t>Source 2</w:t>
      </w:r>
      <w:r>
        <w:t xml:space="preserve"> is our fine-tuned two-tower encoder (Section 4). At query time the dialogue anchor is encoded once and compared to a precomputed matrix of 47,071 track embeddings (768-dim, L2-normalized). Retrieval is an exact brute-force matmul followed by a top-2000 partial sort; at this catalog size an approximate index (FAISS/HNSW) is unnecessary and would only lose recall.</w:t>
      </w:r>
    </w:p>
    <w:p>
      <w:pPr>
        <w:pStyle w:val="Para"/>
      </w:pPr>
      <w:r>
        <w:rPr>
          <w:i/>
        </w:rPr>
        <w:t>Source 5</w:t>
      </w:r>
      <w:r>
        <w:t xml:space="preserve"> is the competition-provided </w:t>
      </w:r>
      <w:r>
        <w:rPr>
          <w:rFonts w:ascii="Courier New" w:hAnsi="Courier New"/>
        </w:rPr>
        <w:t>Qwen3-Embedding-0.6B</w:t>
      </w:r>
      <w:r>
        <w:t xml:space="preserve"> metadata embedding. The track side is precomputed; the query side is encoded by the frozen 0.6B model with the model's instruction prefix, then matched by exact matmul (top-500). Because it is a different pretraining distribution, it recovers gold tracks that the two-tower misses, and both cosines become ranker features.</w:t>
      </w:r>
    </w:p>
    <w:p>
      <w:pPr>
        <w:pStyle w:val="Head2"/>
      </w:pPr>
      <w:r>
        <w:t>3.3 Neighborhood expansion (sources 3, 7)</w:t>
      </w:r>
    </w:p>
    <w:p>
      <w:pPr>
        <w:pStyle w:val="Para"/>
      </w:pPr>
      <w:r>
        <w:t xml:space="preserve">Dense retrieval on the </w:t>
      </w:r>
      <w:r>
        <w:rPr>
          <w:i/>
        </w:rPr>
        <w:t>query</w:t>
      </w:r>
      <w:r>
        <w:t xml:space="preserve"> is complemented by dense expansion around the </w:t>
      </w:r>
      <w:r>
        <w:rPr>
          <w:i/>
        </w:rPr>
        <w:t>history</w:t>
      </w:r>
      <w:r>
        <w:t>. Source 3 takes the last two played tracks and adds each track's 100 nearest neighbors in two-tower space. Source 7 computes the mean two-tower embedding of the session's history tracks (the session taste centroid) and adds its 100 nearest neighbors. Both are cheap matmuls against the same track matrix as source 2. When history contains user-rejected tracks these seeds are filtered first (Section 4.3).</w:t>
      </w:r>
    </w:p>
    <w:p>
      <w:pPr>
        <w:pStyle w:val="Head2"/>
      </w:pPr>
      <w:r>
        <w:t>3.4 Catalog-structure expansion (sources 4, 8, 9)</w:t>
      </w:r>
    </w:p>
    <w:p>
      <w:pPr>
        <w:pStyle w:val="Para"/>
      </w:pPr>
      <w:r>
        <w:t>These sources exploit structure in the catalog and in training sessions rather than the query text.</w:t>
      </w:r>
    </w:p>
    <w:p>
      <w:pPr>
        <w:pStyle w:val="Para"/>
      </w:pPr>
      <w:r>
        <w:rPr>
          <w:i/>
        </w:rPr>
        <w:t>Artist expansion (source 4)</w:t>
      </w:r>
      <w:r>
        <w:t xml:space="preserve"> is a dictionary lookup: for every artist retrieved by another source or named in the dialogue, add that artist's full discography (capped by popularity). It is the cheapest high-recall source in the system (no model), and it matters because TalkPlay sessions are frequently artist deep-dives.</w:t>
      </w:r>
    </w:p>
    <w:p>
      <w:pPr>
        <w:pStyle w:val="Para"/>
      </w:pPr>
      <w:r>
        <w:rPr>
          <w:i/>
        </w:rPr>
        <w:t>Co-occurrence (source 8)</w:t>
      </w:r>
      <w:r>
        <w:t xml:space="preserve"> is a count table built from training sessions: for the last one, two, and three history tracks it adds the tracks that most often followed them (top 300/150/50). One subtlety is leakage: an early version built this table on sessions that also appeared in the ranker's training dump, which inflated the co-occurrence feature (gold tracks were hit in 81.9% of those turns versus 28.1% of clean turns) and would have collapsed on unseen data. Rebuilding the table with all 6,000 dump sessions excluded removes the leak.</w:t>
      </w:r>
    </w:p>
    <w:p>
      <w:pPr>
        <w:pStyle w:val="Para"/>
      </w:pPr>
      <w:r>
        <w:rPr>
          <w:i/>
        </w:rPr>
        <w:t>Semantic-bucket expansion (source 9)</w:t>
      </w:r>
      <w:r>
        <w:t xml:space="preserve"> is optional. A two-level RQ-VAE (64 codes/level) over track attribute embeddings assigns each track a semantic ID; a small SASRec model predicts the next bucket from the session's bucket sequence, and members of the top-3 predicted buckets join the pool. Because next-bucket prediction has a low ceiling (hit@3 = 42.1%), this source is a capped auxiliary only, and an eight-source configuration without it reaches parity.</w:t>
      </w:r>
    </w:p>
    <w:p>
      <w:pPr>
        <w:pStyle w:val="Head2"/>
      </w:pPr>
      <w:r>
        <w:t>3.5 Collaborative signal (source 6)</w:t>
      </w:r>
    </w:p>
    <w:p>
      <w:pPr>
        <w:pStyle w:val="Para"/>
      </w:pPr>
      <w:r>
        <w:t>Source 6 is a Bayesian Personalized Ranking (BPR-MF) model over user-track interactions, restricted to warm users; it adds each user's top-200 tracks. Cold sessions simply receive no candidates from this source and the pipeline degrades gracefully.</w:t>
      </w:r>
    </w:p>
    <w:p>
      <w:pPr>
        <w:pStyle w:val="Head1"/>
      </w:pPr>
      <w:r>
        <w:t>4 Dialogue-Aware Retriever: A LoRA-Adapted E5 Encoder</w:t>
      </w:r>
    </w:p>
    <w:p>
      <w:pPr>
        <w:pStyle w:val="Para"/>
      </w:pPr>
      <w:r>
        <w:t>Off-the-shelf dense retrieval failed on this task: conversational queries do not embed near track-metadata text in general-purpose spaces. Dense retrieval here requires fine-tuning on (dialogue, gold-track) pairs. The remaining problem is context length and label quality.</w:t>
      </w:r>
    </w:p>
    <w:p>
      <w:pPr>
        <w:pStyle w:val="Head2"/>
      </w:pPr>
      <w:r>
        <w:t>4.1 Model and anchor construction</w:t>
      </w:r>
    </w:p>
    <w:p>
      <w:pPr>
        <w:pStyle w:val="Para"/>
      </w:pPr>
      <w:r>
        <w:t xml:space="preserve">The base encoder is </w:t>
      </w:r>
      <w:r>
        <w:rPr>
          <w:rFonts w:ascii="Courier New" w:hAnsi="Courier New"/>
        </w:rPr>
        <w:t>intfloat/multilingual-e5-base</w:t>
      </w:r>
      <w:r>
        <w:t xml:space="preserve"> (XLM-RoBERTa, 12 layers, 768-dim, 512-token window, 279M parameters), chosen for its 512-token context (an earlier 256-token model truncated the user's request on 81% of anchors). We fine-tune with LoRA (rank 32, alpha 64, dropout 0.05) on the query/key/value projections: 1.8M trainable parameters, 0.64% of the model. Full fine-tuning does not fit in 16 GB of unified memory; LoRA plus gradient checkpointing does.</w:t>
      </w:r>
    </w:p>
    <w:p>
      <w:pPr>
        <w:pStyle w:val="Para"/>
      </w:pPr>
      <w:r>
        <w:t xml:space="preserve">The query anchor is </w:t>
      </w:r>
      <w:r>
        <w:rPr>
          <w:i/>
        </w:rPr>
        <w:t>role-tagged</w:t>
      </w:r>
      <w:r>
        <w:t xml:space="preserve"> so the encoder sees explicit dialogue structure:</w:t>
      </w:r>
    </w:p>
    <w:p>
      <w:pPr>
        <w:pStyle w:val="programCodedisplay"/>
      </w:pPr>
      <w:r>
        <w:rPr>
          <w:rFonts w:ascii="Courier New" w:hAnsi="Courier New"/>
          <w:sz w:val="18"/>
        </w:rPr>
        <w:t>query: [PROFILE] {age} . {country} . {gender} . {culture} . {language}</w:t>
      </w:r>
    </w:p>
    <w:p>
      <w:pPr>
        <w:pStyle w:val="programCodedisplay"/>
      </w:pPr>
      <w:r>
        <w:rPr>
          <w:rFonts w:ascii="Courier New" w:hAnsi="Courier New"/>
          <w:sz w:val="18"/>
        </w:rPr>
        <w:t>[GOAL] {listener_goal} ({specificity})</w:t>
      </w:r>
    </w:p>
    <w:p>
      <w:pPr>
        <w:pStyle w:val="programCodedisplay"/>
      </w:pPr>
      <w:r>
        <w:rPr>
          <w:rFonts w:ascii="Courier New" w:hAnsi="Courier New"/>
          <w:sz w:val="18"/>
        </w:rPr>
        <w:t>[T1] USER: {q1} | REC: {track - artist} | ASST: {r1} | REACTION: liked/rejected</w:t>
      </w:r>
    </w:p>
    <w:p>
      <w:pPr>
        <w:pStyle w:val="programCodedisplay"/>
      </w:pPr>
      <w:r>
        <w:rPr>
          <w:rFonts w:ascii="Courier New" w:hAnsi="Courier New"/>
          <w:sz w:val="18"/>
        </w:rPr>
        <w:t>...</w:t>
      </w:r>
    </w:p>
    <w:p>
      <w:pPr>
        <w:pStyle w:val="programCodedisplay"/>
      </w:pPr>
      <w:r>
        <w:rPr>
          <w:rFonts w:ascii="Courier New" w:hAnsi="Courier New"/>
          <w:sz w:val="18"/>
        </w:rPr>
        <w:t>[NOW] USER: {current request}</w:t>
      </w:r>
    </w:p>
    <w:p>
      <w:pPr>
        <w:pStyle w:val="Para"/>
      </w:pPr>
      <w:r>
        <w:t xml:space="preserve">A tokenizer-aware greedy builder always includes a fixed core (profile, goal, latest request) and then inserts history turns most-recent-first, each only if it fits a 510-token budget, with per-turn fallbacks (full -&gt; short -&gt; minimal). The user's current request can never be truncated; only ~5% of anchors reach the budget. Documents use the symmetric form </w:t>
      </w:r>
      <w:r>
        <w:rPr>
          <w:rFonts w:ascii="Courier New" w:hAnsi="Courier New"/>
        </w:rPr>
        <w:t>passage: {name} by {artist} | Album: {album} | Tags: {tags} | {year}</w:t>
      </w:r>
      <w:r>
        <w:t xml:space="preserve">. The </w:t>
      </w:r>
      <w:r>
        <w:rPr>
          <w:rFonts w:ascii="Courier New" w:hAnsi="Courier New"/>
        </w:rPr>
        <w:t>query:</w:t>
      </w:r>
      <w:r>
        <w:t>/</w:t>
      </w:r>
      <w:r>
        <w:rPr>
          <w:rFonts w:ascii="Courier New" w:hAnsi="Courier New"/>
        </w:rPr>
        <w:t>passage:</w:t>
      </w:r>
      <w:r>
        <w:t xml:space="preserve"> prefixes match E5 pretraining and must be identical across training, index build, and inference.</w:t>
      </w:r>
    </w:p>
    <w:p>
      <w:pPr>
        <w:pStyle w:val="Head2"/>
      </w:pPr>
      <w:r>
        <w:t>4.2 Training and use</w:t>
      </w:r>
    </w:p>
    <w:p>
      <w:pPr>
        <w:pStyle w:val="Para"/>
      </w:pPr>
      <w:r>
        <w:t>We train with MultipleNegativesRankingLoss (InfoNCE with in-batch negatives) plus two to three explicit hard negatives per row (Section 4.3), for 3 epochs at effective batch 32 (batch 8, gradient accumulation 4), learning rate 1e-4, 200 warmup steps, with gradient checkpointing. Training data is ~74K anchor/positive pairs drawn from the 15,199 training sessions, excluding the 6,000 sessions reserved for the ranker's feature dump.</w:t>
      </w:r>
    </w:p>
    <w:p>
      <w:pPr>
        <w:pStyle w:val="Para"/>
      </w:pPr>
      <w:r>
        <w:t xml:space="preserve">At serving time we ship the LoRA adapter (a 7 MB </w:t>
      </w:r>
      <w:r>
        <w:rPr>
          <w:rFonts w:ascii="Courier New" w:hAnsi="Courier New"/>
        </w:rPr>
        <w:t>safetensors</w:t>
      </w:r>
      <w:r>
        <w:t xml:space="preserve"> file, 24 MB with its tokenizer) and apply it to the base encoder loaded from cache; the adapter can optionally be merged into a standalone encoder. The track index is one forward pass over the catalog, stored as a 47,071 x 768 float32 matrix (146.5 MB) and queried by brute-force matmul.</w:t>
      </w:r>
    </w:p>
    <w:p>
      <w:pPr>
        <w:pStyle w:val="Head2"/>
      </w:pPr>
      <w:r>
        <w:t>4.3 Using the goal-progress feedback signal</w:t>
      </w:r>
    </w:p>
    <w:p>
      <w:pPr>
        <w:pStyle w:val="Para"/>
      </w:pPr>
      <w:r>
        <w:t xml:space="preserve">Each turn in the training data carries a </w:t>
      </w:r>
      <w:r>
        <w:rPr>
          <w:rFonts w:ascii="Courier New" w:hAnsi="Courier New"/>
        </w:rPr>
        <w:t>goal_progress_assessment</w:t>
      </w:r>
      <w:r>
        <w:t xml:space="preserve"> (GPA): a label recording whether the previous recommendation moved the listener toward their goal. In effect it is a per-recommendation accept/reject signal, and it is the richest preference feedback the dataset offers. It is also the trickiest part of the system, for two reasons: the raw label cannot be used as-is, and it is removed entirely from the blind test set. We handle these in turn.</w:t>
      </w:r>
    </w:p>
    <w:p>
      <w:pPr>
        <w:pStyle w:val="Para"/>
      </w:pPr>
      <w:r>
        <w:rPr>
          <w:b/>
        </w:rPr>
        <w:t>First, align the label in time.</w:t>
      </w:r>
      <w:r>
        <w:t xml:space="preserve"> The GPA recorded at turn </w:t>
      </w:r>
      <w:r>
        <w:rPr>
          <w:i/>
        </w:rPr>
        <w:t>T</w:t>
      </w:r>
      <w:r>
        <w:t xml:space="preserve"> is the user's reaction to the track recommended at turn </w:t>
      </w:r>
      <w:r>
        <w:rPr>
          <w:i/>
        </w:rPr>
        <w:t>T-1</w:t>
      </w:r>
      <w:r>
        <w:t xml:space="preserve">: the system acts at one turn and the user responds at the next. A naive reading attaches each reaction to the wrong track. We therefore shift every GPA back by one turn (indexing </w:t>
      </w:r>
      <w:r>
        <w:rPr>
          <w:rFonts w:ascii="Courier New" w:hAnsi="Courier New"/>
        </w:rPr>
        <w:t>turn_number - 1</w:t>
      </w:r>
      <w:r>
        <w:t>) so that each track is paired with the reaction it actually caused. This one-line alignment is a prerequisite for everything below.</w:t>
      </w:r>
    </w:p>
    <w:p>
      <w:pPr>
        <w:pStyle w:val="Para"/>
      </w:pPr>
      <w:r>
        <w:rPr>
          <w:b/>
        </w:rPr>
        <w:t>Second, stop training on rejected tracks as if they were positives.</w:t>
      </w:r>
      <w:r>
        <w:t xml:space="preserve"> After alignment, 43.2% of turns turn out to carry a gold track that the user </w:t>
      </w:r>
      <w:r>
        <w:rPr>
          <w:i/>
        </w:rPr>
        <w:t>rejected</w:t>
      </w:r>
      <w:r>
        <w:t xml:space="preserve"> (</w:t>
      </w:r>
      <w:r>
        <w:rPr>
          <w:rFonts w:ascii="Courier New" w:hAnsi="Courier New"/>
        </w:rPr>
        <w:t>DOES_NOT_MOVE_TOWARD_GOAL</w:t>
      </w:r>
      <w:r>
        <w:t>): the logged system played it, and the listener said it missed. Treating these as positive examples teaches both models to rank rejected tracks highly. We use them differently in each model:</w:t>
      </w:r>
    </w:p>
    <w:p>
      <w:pPr>
        <w:pStyle w:val="ListParagraph"/>
      </w:pPr>
      <w:r>
        <w:rPr>
          <w:i/>
        </w:rPr>
        <w:t>Ranker:</w:t>
      </w:r>
      <w:r>
        <w:t xml:space="preserve"> we drop these turns from training. A rejected track is not a valid positive, and the turn provides no usable positive label.</w:t>
      </w:r>
    </w:p>
    <w:p>
      <w:pPr>
        <w:pStyle w:val="ListParagraph"/>
      </w:pPr>
      <w:r>
        <w:rPr>
          <w:i/>
        </w:rPr>
        <w:t>Retriever:</w:t>
      </w:r>
      <w:r>
        <w:t xml:space="preserve"> we drop the rejected track from the positive pairs, but keep it as a </w:t>
      </w:r>
      <w:r>
        <w:rPr>
          <w:i/>
        </w:rPr>
        <w:t>hard negative</w:t>
      </w:r>
      <w:r>
        <w:t xml:space="preserve"> for that session. It shares the same intent context as the request yet was explicitly refused, so it is exactly the kind of near-miss the encoder should learn to push away. Per anchor we prioritize confirmed session rejections, then BM25 near-misses, then same-artist distractors, then ordinary in-batch negatives, and we never sample a track the user </w:t>
      </w:r>
      <w:r>
        <w:rPr>
          <w:i/>
        </w:rPr>
        <w:t>accepted</w:t>
      </w:r>
      <w:r>
        <w:t xml:space="preserve"> as a negative.</w:t>
      </w:r>
    </w:p>
    <w:p>
      <w:pPr>
        <w:pStyle w:val="Para"/>
      </w:pPr>
      <w:r>
        <w:rPr>
          <w:b/>
        </w:rPr>
        <w:t>Third, act on the feedback at inference, not just in training.</w:t>
      </w:r>
      <w:r>
        <w:t xml:space="preserve"> Knowing which past tracks were accepted or rejected changes what the system should retrieve and how it should rank. We use the aligned GPA three ways at inference:</w:t>
      </w:r>
    </w:p>
    <w:p>
      <w:pPr>
        <w:pStyle w:val="ListParagraph"/>
      </w:pPr>
      <w:r>
        <w:rPr>
          <w:i/>
        </w:rPr>
        <w:t>Seed filtering:</w:t>
      </w:r>
      <w:r>
        <w:t xml:space="preserve"> the history-based retrievers (last-track NN, session-mean NN, and the BM25 query) are seeded only from </w:t>
      </w:r>
      <w:r>
        <w:rPr>
          <w:i/>
        </w:rPr>
        <w:t>accepted</w:t>
      </w:r>
      <w:r>
        <w:t xml:space="preserve"> history tracks, so a streak of rejections does not fill the pool with neighbors of tracks the user just refused.</w:t>
      </w:r>
    </w:p>
    <w:p>
      <w:pPr>
        <w:pStyle w:val="ListParagraph"/>
      </w:pPr>
      <w:r>
        <w:rPr>
          <w:i/>
        </w:rPr>
        <w:t>Session-state features:</w:t>
      </w:r>
      <w:r>
        <w:t xml:space="preserve"> the ranker receives features summarizing the accepted versus rejected history (Section 5, group D), such as a candidate's similarity to the accepted-history centroid versus the rejected-history centroid.</w:t>
      </w:r>
    </w:p>
    <w:p>
      <w:pPr>
        <w:pStyle w:val="ListParagraph"/>
      </w:pPr>
      <w:r>
        <w:rPr>
          <w:i/>
        </w:rPr>
        <w:t>Goal substitution:</w:t>
      </w:r>
      <w:r>
        <w:t xml:space="preserve"> the anchor's goal slot is replaced by the most recently accepted track, expressing "more like the last thing that worked."</w:t>
      </w:r>
    </w:p>
    <w:p>
      <w:pPr>
        <w:pStyle w:val="Para"/>
      </w:pPr>
      <w:r>
        <w:rPr>
          <w:b/>
        </w:rPr>
        <w:t>Finally, reconstruct the signal when it is missing.</w:t>
      </w:r>
      <w:r>
        <w:t xml:space="preserve"> The blind test set removes GPA, so at test time we infer it from the dialogue itself. A lightweight rule-based classifier reads each user follow-up and labels it accept or reject using two small keyword banks (accept: "love it", "perfect", "more like this"; reject: "not what", "something different", "too slow"). The inferred label fills the anchor's </w:t>
      </w:r>
      <w:r>
        <w:rPr>
          <w:rFonts w:ascii="Courier New" w:hAnsi="Courier New"/>
        </w:rPr>
        <w:t>REACTION</w:t>
      </w:r>
      <w:r>
        <w:t xml:space="preserve"> slot and drives the same seed filtering and session-state features described above. This proxy is noisier than the true label, but on the blind-simulated holdout the system scores as well with the inferred signal as with the real one, which is what makes the approach viable on the blind set.</w:t>
      </w:r>
    </w:p>
    <w:p>
      <w:pPr>
        <w:pStyle w:val="Head1"/>
      </w:pPr>
      <w:r>
        <w:t>5 Learning-to-Rank Rescoring</w:t>
      </w:r>
    </w:p>
    <w:p>
      <w:pPr>
        <w:pStyle w:val="Para"/>
      </w:pPr>
      <w:r>
        <w:t>The rescorer is a LightGBM LambdaMART model (</w:t>
      </w:r>
      <w:r>
        <w:rPr>
          <w:rFonts w:ascii="Courier New" w:hAnsi="Courier New"/>
        </w:rPr>
        <w:t>lambdarank</w:t>
      </w:r>
      <w:r>
        <w:t xml:space="preserve"> objective, nDCG@20) that scores every pooled candidate and returns the top 20. It replaces hand-tuned linear fusion and is the pivotal architectural choice: it </w:t>
      </w:r>
      <w:r>
        <w:rPr>
          <w:i/>
        </w:rPr>
        <w:t>decouples recall from precision</w:t>
      </w:r>
      <w:r>
        <w:t>, absorbs heterogeneous feature types (cosines, reciprocal ranks, count tables, metadata, session counters), and handles extreme class imbalance natively (one positive per ~3,100 candidates) because LambdaMART forms pairwise gradients within each turn's group.</w:t>
      </w:r>
    </w:p>
    <w:p>
      <w:pPr>
        <w:pStyle w:val="Para"/>
      </w:pPr>
      <w:r>
        <w:rPr>
          <w:b/>
        </w:rPr>
        <w:t>Training data.</w:t>
      </w:r>
      <w:r>
        <w:t xml:space="preserve"> The full nine-source retrieval is run in dump mode on 6,000 held-out training sessions, writing one row per (turn, candidate): 24,718 groups, 77.7M rows, positive rate 0.00035. Splits are at the session level, and the same 6,000 sessions are excluded from two-tower training and the co-occurrence table.</w:t>
      </w:r>
    </w:p>
    <w:p>
      <w:pPr>
        <w:pStyle w:val="Para"/>
      </w:pPr>
      <w:r>
        <w:rPr>
          <w:b/>
        </w:rPr>
        <w:t>Hyperparameters.</w:t>
      </w:r>
      <w:r>
        <w:t xml:space="preserve"> 31 leaves, learning rate 0.08, L2 0.1, minimum sum Hessian 0.1, path smoothing 1.0, feature and bagging fraction 0.8, truncation level 30, 5-fold session-level cross-validation with early stopping (75 rounds). The production model has 67 features (cross-validated nDCG@20 = 0.3144) and is a 0.6 MB text file.</w:t>
      </w:r>
    </w:p>
    <w:p>
      <w:pPr>
        <w:pStyle w:val="Para"/>
      </w:pPr>
      <w:r>
        <w:t>The 67 features fall into six groups (Table 2).</w:t>
      </w:r>
    </w:p>
    <w:p>
      <w:pPr>
        <w:pStyle w:val="TableCaption"/>
      </w:pPr>
      <w:r>
        <w:t>Table 2: Rescorer feature groups.</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Group</w:t>
            </w:r>
          </w:p>
        </w:tc>
        <w:tc>
          <w:tcPr>
            <w:tcW w:type="dxa" w:w="3360"/>
          </w:tcPr>
          <w:p>
            <w:r/>
            <w:r>
              <w:rPr>
                <w:b/>
                <w:sz w:val="18"/>
              </w:rPr>
              <w:t>Features</w:t>
            </w:r>
          </w:p>
        </w:tc>
        <w:tc>
          <w:tcPr>
            <w:tcW w:type="dxa" w:w="3360"/>
          </w:tcPr>
          <w:p>
            <w:r/>
            <w:r>
              <w:rPr>
                <w:b/>
                <w:sz w:val="18"/>
              </w:rPr>
              <w:t>Construction</w:t>
            </w:r>
          </w:p>
        </w:tc>
      </w:tr>
      <w:tr>
        <w:tc>
          <w:tcPr>
            <w:tcW w:type="dxa" w:w="3360"/>
          </w:tcPr>
          <w:p>
            <w:r>
              <w:rPr>
                <w:sz w:val="18"/>
              </w:rPr>
            </w:r>
            <w:r>
              <w:rPr>
                <w:sz w:val="18"/>
              </w:rPr>
              <w:t>A. Retrieval scores</w:t>
            </w:r>
          </w:p>
        </w:tc>
        <w:tc>
          <w:tcPr>
            <w:tcW w:type="dxa" w:w="3360"/>
          </w:tcPr>
          <w:p>
            <w:r>
              <w:rPr>
                <w:sz w:val="18"/>
              </w:rPr>
            </w:r>
            <w:r>
              <w:rPr>
                <w:sz w:val="18"/>
              </w:rPr>
              <w:t>two-tower cosine and a rank sigmoid; Qwen3 metadata and lyrics cosines; CLAP audio cosine; CF cosine; BM25 reciprocal rank; co-occurrence rank signal</w:t>
            </w:r>
          </w:p>
        </w:tc>
        <w:tc>
          <w:tcPr>
            <w:tcW w:type="dxa" w:w="3360"/>
          </w:tcPr>
          <w:p>
            <w:r>
              <w:rPr>
                <w:sz w:val="18"/>
              </w:rPr>
            </w:r>
            <w:r>
              <w:rPr>
                <w:sz w:val="18"/>
              </w:rPr>
              <w:t>the raw per-source votes, read directly from each retriever's output for the candidate</w:t>
            </w:r>
          </w:p>
        </w:tc>
      </w:tr>
      <w:tr>
        <w:tc>
          <w:tcPr>
            <w:tcW w:type="dxa" w:w="3360"/>
          </w:tcPr>
          <w:p>
            <w:r>
              <w:rPr>
                <w:sz w:val="18"/>
              </w:rPr>
            </w:r>
            <w:r>
              <w:rPr>
                <w:sz w:val="18"/>
              </w:rPr>
              <w:t>B. Multi-source agreement</w:t>
            </w:r>
          </w:p>
        </w:tc>
        <w:tc>
          <w:tcPr>
            <w:tcW w:type="dxa" w:w="3360"/>
          </w:tcPr>
          <w:p>
            <w:r>
              <w:rPr>
                <w:sz w:val="18"/>
              </w:rPr>
            </w:r>
            <w:r>
              <w:rPr>
                <w:rFonts w:ascii="Courier New" w:hAnsi="Courier New"/>
                <w:sz w:val="18"/>
              </w:rPr>
              <w:t>n_sources</w:t>
            </w:r>
            <w:r>
              <w:rPr>
                <w:sz w:val="18"/>
              </w:rPr>
              <w:t xml:space="preserve">, </w:t>
            </w:r>
            <w:r>
              <w:rPr>
                <w:rFonts w:ascii="Courier New" w:hAnsi="Courier New"/>
                <w:sz w:val="18"/>
              </w:rPr>
              <w:t>log1p(n_sources)</w:t>
            </w:r>
            <w:r>
              <w:rPr>
                <w:sz w:val="18"/>
              </w:rPr>
              <w:t xml:space="preserve">, </w:t>
            </w:r>
            <w:r>
              <w:rPr>
                <w:rFonts w:ascii="Courier New" w:hAnsi="Courier New"/>
                <w:sz w:val="18"/>
              </w:rPr>
              <w:t>n_sources/7</w:t>
            </w:r>
          </w:p>
        </w:tc>
        <w:tc>
          <w:tcPr>
            <w:tcW w:type="dxa" w:w="3360"/>
          </w:tcPr>
          <w:p>
            <w:r>
              <w:rPr>
                <w:sz w:val="18"/>
              </w:rPr>
            </w:r>
            <w:r>
              <w:rPr>
                <w:sz w:val="18"/>
              </w:rPr>
              <w:t>count of independent sources that returned the candidate; a de-facto ensemble vote</w:t>
            </w:r>
          </w:p>
        </w:tc>
      </w:tr>
      <w:tr>
        <w:tc>
          <w:tcPr>
            <w:tcW w:type="dxa" w:w="3360"/>
          </w:tcPr>
          <w:p>
            <w:r>
              <w:rPr>
                <w:sz w:val="18"/>
              </w:rPr>
            </w:r>
            <w:r>
              <w:rPr>
                <w:sz w:val="18"/>
              </w:rPr>
              <w:t>C. Track metadata</w:t>
            </w:r>
          </w:p>
        </w:tc>
        <w:tc>
          <w:tcPr>
            <w:tcW w:type="dxa" w:w="3360"/>
          </w:tcPr>
          <w:p>
            <w:r>
              <w:rPr>
                <w:sz w:val="18"/>
              </w:rPr>
            </w:r>
            <w:r>
              <w:rPr>
                <w:sz w:val="18"/>
              </w:rPr>
              <w:t>popularity percentile; years since release; tag overlap with the request</w:t>
            </w:r>
          </w:p>
        </w:tc>
        <w:tc>
          <w:tcPr>
            <w:tcW w:type="dxa" w:w="3360"/>
          </w:tcPr>
          <w:p>
            <w:r>
              <w:rPr>
                <w:sz w:val="18"/>
              </w:rPr>
            </w:r>
            <w:r>
              <w:rPr>
                <w:sz w:val="18"/>
              </w:rPr>
              <w:t>from static catalog metadata and a set intersection of request tokens with track tags</w:t>
            </w:r>
          </w:p>
        </w:tc>
      </w:tr>
      <w:tr>
        <w:tc>
          <w:tcPr>
            <w:tcW w:type="dxa" w:w="3360"/>
          </w:tcPr>
          <w:p>
            <w:r>
              <w:rPr>
                <w:sz w:val="18"/>
              </w:rPr>
            </w:r>
            <w:r>
              <w:rPr>
                <w:sz w:val="18"/>
              </w:rPr>
              <w:t>D. Session state (from GPA/H2)</w:t>
            </w:r>
          </w:p>
        </w:tc>
        <w:tc>
          <w:tcPr>
            <w:tcW w:type="dxa" w:w="3360"/>
          </w:tcPr>
          <w:p>
            <w:r>
              <w:rPr>
                <w:sz w:val="18"/>
              </w:rPr>
            </w:r>
            <w:r>
              <w:rPr>
                <w:sz w:val="18"/>
              </w:rPr>
              <w:t>cosine to the mean embedding of accepted history; cosine to the mean embedding of rejected history; artist-in-rejected-set flag; counts of accepted and rejected turns; consecutive-rejection counter; CF distance to last and mean history</w:t>
            </w:r>
          </w:p>
        </w:tc>
        <w:tc>
          <w:tcPr>
            <w:tcW w:type="dxa" w:w="3360"/>
          </w:tcPr>
          <w:p>
            <w:r>
              <w:rPr>
                <w:sz w:val="18"/>
              </w:rPr>
            </w:r>
            <w:r>
              <w:rPr>
                <w:sz w:val="18"/>
              </w:rPr>
              <w:t>computed per candidate against the accepted/rejected partitions of the session history</w:t>
            </w:r>
          </w:p>
        </w:tc>
      </w:tr>
      <w:tr>
        <w:tc>
          <w:tcPr>
            <w:tcW w:type="dxa" w:w="3360"/>
          </w:tcPr>
          <w:p>
            <w:r>
              <w:rPr>
                <w:sz w:val="18"/>
              </w:rPr>
            </w:r>
            <w:r>
              <w:rPr>
                <w:sz w:val="18"/>
              </w:rPr>
              <w:t>E. Intent extraction (Tier 1)</w:t>
            </w:r>
          </w:p>
        </w:tc>
        <w:tc>
          <w:tcPr>
            <w:tcW w:type="dxa" w:w="3360"/>
          </w:tcPr>
          <w:p>
            <w:r>
              <w:rPr>
                <w:sz w:val="18"/>
              </w:rPr>
            </w:r>
            <w:r>
              <w:rPr>
                <w:sz w:val="18"/>
              </w:rPr>
              <w:t>era/genre/mood/instrument keywords parsed from the request; candidate era and genre match; album continuity (same album as last track, album seen in recent window); within-artist popularity and transition ranks; semantic-bucket match counts</w:t>
            </w:r>
          </w:p>
        </w:tc>
        <w:tc>
          <w:tcPr>
            <w:tcW w:type="dxa" w:w="3360"/>
          </w:tcPr>
          <w:p>
            <w:r>
              <w:rPr>
                <w:sz w:val="18"/>
              </w:rPr>
            </w:r>
            <w:r>
              <w:rPr>
                <w:sz w:val="18"/>
              </w:rPr>
              <w:t>keyword extraction over the request text matched against candidate tags and release year, plus per-artist ranking statistics</w:t>
            </w:r>
          </w:p>
        </w:tc>
      </w:tr>
      <w:tr>
        <w:tc>
          <w:tcPr>
            <w:tcW w:type="dxa" w:w="3360"/>
          </w:tcPr>
          <w:p>
            <w:r>
              <w:rPr>
                <w:sz w:val="18"/>
              </w:rPr>
            </w:r>
            <w:r>
              <w:rPr>
                <w:sz w:val="18"/>
              </w:rPr>
              <w:t>F. Sequential-ID (optional)</w:t>
            </w:r>
          </w:p>
        </w:tc>
        <w:tc>
          <w:tcPr>
            <w:tcW w:type="dxa" w:w="3360"/>
          </w:tcPr>
          <w:p>
            <w:r>
              <w:rPr>
                <w:sz w:val="18"/>
              </w:rPr>
            </w:r>
            <w:r>
              <w:rPr>
                <w:sz w:val="18"/>
              </w:rPr>
              <w:t>SASRec bucket-origin and bucket-rank features</w:t>
            </w:r>
          </w:p>
        </w:tc>
        <w:tc>
          <w:tcPr>
            <w:tcW w:type="dxa" w:w="3360"/>
          </w:tcPr>
          <w:p>
            <w:r>
              <w:rPr>
                <w:sz w:val="18"/>
              </w:rPr>
            </w:r>
            <w:r>
              <w:rPr>
                <w:sz w:val="18"/>
              </w:rPr>
              <w:t>present only in the nine-source configuration</w:t>
            </w:r>
          </w:p>
        </w:tc>
      </w:tr>
    </w:tbl>
    <w:p>
      <w:pPr>
        <w:pStyle w:val="Para"/>
      </w:pPr>
      <w:r>
        <w:t>Group B is by far the most important: multi-source agreement accounts for roughly 57% of total model gain. It is also the feature that transfers best across distributions, which is why the system is robust when goal and GPA are withheld on the blind set.</w:t>
      </w:r>
    </w:p>
    <w:p>
      <w:pPr>
        <w:pStyle w:val="Head1"/>
      </w:pPr>
      <w:r>
        <w:t>6 Iterative Improvements</w:t>
      </w:r>
    </w:p>
    <w:p>
      <w:pPr>
        <w:pStyle w:val="Para"/>
      </w:pPr>
      <w:r>
        <w:t>Rather than a full narrative, Table 3 lists only the changes that moved the metric, with the resulting development nDCG@20 (1,000 sessions).</w:t>
      </w:r>
    </w:p>
    <w:p>
      <w:pPr>
        <w:pStyle w:val="TableCaption"/>
      </w:pPr>
      <w:r>
        <w:t>Table 3: Development nDCG@20 after each load-bearing change.</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Change</w:t>
            </w:r>
          </w:p>
        </w:tc>
        <w:tc>
          <w:tcPr>
            <w:tcW w:type="dxa" w:w="5040"/>
          </w:tcPr>
          <w:p>
            <w:r/>
            <w:r>
              <w:rPr>
                <w:b/>
                <w:sz w:val="18"/>
              </w:rPr>
              <w:t>nDCG@20</w:t>
            </w:r>
          </w:p>
        </w:tc>
      </w:tr>
      <w:tr>
        <w:tc>
          <w:tcPr>
            <w:tcW w:type="dxa" w:w="5040"/>
          </w:tcPr>
          <w:p>
            <w:r>
              <w:rPr>
                <w:sz w:val="18"/>
              </w:rPr>
            </w:r>
            <w:r>
              <w:rPr>
                <w:sz w:val="18"/>
              </w:rPr>
              <w:t>BM25 over name + artist + album</w:t>
            </w:r>
          </w:p>
        </w:tc>
        <w:tc>
          <w:tcPr>
            <w:tcW w:type="dxa" w:w="5040"/>
          </w:tcPr>
          <w:p>
            <w:r>
              <w:rPr>
                <w:sz w:val="18"/>
              </w:rPr>
            </w:r>
            <w:r>
              <w:rPr>
                <w:sz w:val="18"/>
              </w:rPr>
              <w:t>0.0861</w:t>
            </w:r>
          </w:p>
        </w:tc>
      </w:tr>
      <w:tr>
        <w:tc>
          <w:tcPr>
            <w:tcW w:type="dxa" w:w="5040"/>
          </w:tcPr>
          <w:p>
            <w:r>
              <w:rPr>
                <w:sz w:val="18"/>
              </w:rPr>
            </w:r>
            <w:r>
              <w:rPr>
                <w:sz w:val="18"/>
              </w:rPr>
              <w:t>+ index the tag list</w:t>
            </w:r>
          </w:p>
        </w:tc>
        <w:tc>
          <w:tcPr>
            <w:tcW w:type="dxa" w:w="5040"/>
          </w:tcPr>
          <w:p>
            <w:r>
              <w:rPr>
                <w:sz w:val="18"/>
              </w:rPr>
            </w:r>
            <w:r>
              <w:rPr>
                <w:sz w:val="18"/>
              </w:rPr>
              <w:t>0.0960</w:t>
            </w:r>
          </w:p>
        </w:tc>
      </w:tr>
      <w:tr>
        <w:tc>
          <w:tcPr>
            <w:tcW w:type="dxa" w:w="5040"/>
          </w:tcPr>
          <w:p>
            <w:r>
              <w:rPr>
                <w:sz w:val="18"/>
              </w:rPr>
            </w:r>
            <w:r>
              <w:rPr>
                <w:sz w:val="18"/>
              </w:rPr>
              <w:t>+ exclude already-played tracks</w:t>
            </w:r>
          </w:p>
        </w:tc>
        <w:tc>
          <w:tcPr>
            <w:tcW w:type="dxa" w:w="5040"/>
          </w:tcPr>
          <w:p>
            <w:r>
              <w:rPr>
                <w:sz w:val="18"/>
              </w:rPr>
            </w:r>
            <w:r>
              <w:rPr>
                <w:sz w:val="18"/>
              </w:rPr>
              <w:t>0.1313</w:t>
            </w:r>
          </w:p>
        </w:tc>
      </w:tr>
      <w:tr>
        <w:tc>
          <w:tcPr>
            <w:tcW w:type="dxa" w:w="5040"/>
          </w:tcPr>
          <w:p>
            <w:r>
              <w:rPr>
                <w:sz w:val="18"/>
              </w:rPr>
            </w:r>
            <w:r>
              <w:rPr>
                <w:sz w:val="18"/>
              </w:rPr>
              <w:t>+ fine-tuned two-tower, linear fusion</w:t>
            </w:r>
          </w:p>
        </w:tc>
        <w:tc>
          <w:tcPr>
            <w:tcW w:type="dxa" w:w="5040"/>
          </w:tcPr>
          <w:p>
            <w:r>
              <w:rPr>
                <w:sz w:val="18"/>
              </w:rPr>
            </w:r>
            <w:r>
              <w:rPr>
                <w:sz w:val="18"/>
              </w:rPr>
              <w:t>0.1418</w:t>
            </w:r>
          </w:p>
        </w:tc>
      </w:tr>
      <w:tr>
        <w:tc>
          <w:tcPr>
            <w:tcW w:type="dxa" w:w="5040"/>
          </w:tcPr>
          <w:p>
            <w:r>
              <w:rPr>
                <w:sz w:val="18"/>
              </w:rPr>
            </w:r>
            <w:r>
              <w:rPr>
                <w:sz w:val="18"/>
              </w:rPr>
              <w:t>+ multi-source pool expansion</w:t>
            </w:r>
          </w:p>
        </w:tc>
        <w:tc>
          <w:tcPr>
            <w:tcW w:type="dxa" w:w="5040"/>
          </w:tcPr>
          <w:p>
            <w:r>
              <w:rPr>
                <w:sz w:val="18"/>
              </w:rPr>
            </w:r>
            <w:r>
              <w:rPr>
                <w:sz w:val="18"/>
              </w:rPr>
              <w:t>0.1533</w:t>
            </w:r>
          </w:p>
        </w:tc>
      </w:tr>
      <w:tr>
        <w:tc>
          <w:tcPr>
            <w:tcW w:type="dxa" w:w="5040"/>
          </w:tcPr>
          <w:p>
            <w:r>
              <w:rPr>
                <w:sz w:val="18"/>
              </w:rPr>
            </w:r>
            <w:r>
              <w:rPr>
                <w:sz w:val="18"/>
              </w:rPr>
              <w:t>+ LightGBM LambdaMART replaces linear fusion</w:t>
            </w:r>
          </w:p>
        </w:tc>
        <w:tc>
          <w:tcPr>
            <w:tcW w:type="dxa" w:w="5040"/>
          </w:tcPr>
          <w:p>
            <w:r>
              <w:rPr>
                <w:sz w:val="18"/>
              </w:rPr>
            </w:r>
            <w:r>
              <w:rPr>
                <w:sz w:val="18"/>
              </w:rPr>
              <w:t>0.1609</w:t>
            </w:r>
          </w:p>
        </w:tc>
      </w:tr>
      <w:tr>
        <w:tc>
          <w:tcPr>
            <w:tcW w:type="dxa" w:w="5040"/>
          </w:tcPr>
          <w:p>
            <w:r>
              <w:rPr>
                <w:sz w:val="18"/>
              </w:rPr>
            </w:r>
            <w:r>
              <w:rPr>
                <w:sz w:val="18"/>
              </w:rPr>
              <w:t>+ feature engineering, larger two-tower pool</w:t>
            </w:r>
          </w:p>
        </w:tc>
        <w:tc>
          <w:tcPr>
            <w:tcW w:type="dxa" w:w="5040"/>
          </w:tcPr>
          <w:p>
            <w:r>
              <w:rPr>
                <w:sz w:val="18"/>
              </w:rPr>
            </w:r>
            <w:r>
              <w:rPr>
                <w:sz w:val="18"/>
              </w:rPr>
              <w:t>0.1684</w:t>
            </w:r>
          </w:p>
        </w:tc>
      </w:tr>
      <w:tr>
        <w:tc>
          <w:tcPr>
            <w:tcW w:type="dxa" w:w="5040"/>
          </w:tcPr>
          <w:p>
            <w:r>
              <w:rPr>
                <w:sz w:val="18"/>
              </w:rPr>
            </w:r>
            <w:r>
              <w:rPr>
                <w:sz w:val="18"/>
              </w:rPr>
              <w:t>+ E5 role-tagged dialogue anchor</w:t>
            </w:r>
          </w:p>
        </w:tc>
        <w:tc>
          <w:tcPr>
            <w:tcW w:type="dxa" w:w="5040"/>
          </w:tcPr>
          <w:p>
            <w:r>
              <w:rPr>
                <w:sz w:val="18"/>
              </w:rPr>
            </w:r>
            <w:r>
              <w:rPr>
                <w:sz w:val="18"/>
              </w:rPr>
              <w:t>0.1748</w:t>
            </w:r>
          </w:p>
        </w:tc>
      </w:tr>
      <w:tr>
        <w:tc>
          <w:tcPr>
            <w:tcW w:type="dxa" w:w="5040"/>
          </w:tcPr>
          <w:p>
            <w:r>
              <w:rPr>
                <w:sz w:val="18"/>
              </w:rPr>
            </w:r>
            <w:r>
              <w:rPr>
                <w:sz w:val="18"/>
              </w:rPr>
              <w:t>+ GPA-aware inference and intent features</w:t>
            </w:r>
          </w:p>
        </w:tc>
        <w:tc>
          <w:tcPr>
            <w:tcW w:type="dxa" w:w="5040"/>
          </w:tcPr>
          <w:p>
            <w:r>
              <w:rPr>
                <w:sz w:val="18"/>
              </w:rPr>
            </w:r>
            <w:r>
              <w:rPr>
                <w:sz w:val="18"/>
              </w:rPr>
              <w:t>0.1864</w:t>
            </w:r>
          </w:p>
        </w:tc>
      </w:tr>
    </w:tbl>
    <w:p>
      <w:pPr>
        <w:pStyle w:val="Para"/>
      </w:pPr>
      <w:r>
        <w:t>The two largest single jumps are non-model changes: excluding already-played tracks (+0.035) and replacing linear fusion with a learned ranker (that unlocked every later feature). The GPA fixes of Section 4.3 account for the final step to 0.1864. On the blind sets the same system scores nDCG@20 = 0.3997 (Blind A) and composite 0.49 (Blind B).</w:t>
      </w:r>
    </w:p>
    <w:p>
      <w:pPr>
        <w:pStyle w:val="Head1"/>
      </w:pPr>
      <w:r>
        <w:t>7 Efficiency</w:t>
      </w:r>
    </w:p>
    <w:p>
      <w:pPr>
        <w:pStyle w:val="Para"/>
      </w:pPr>
      <w:r>
        <w:t>Every stage is CPU-native. Exact brute-force similarity over the 47,071 x 768 matrix is one matmul (median 2.2 ms), so no approximate index is needed at this catalog scale. Per-turn neural cost is dominated by the two encoder forward passes; the classical stages are single-digit milliseconds (BM25 0.5 ms, ranking 3,100 candidates 3.4 ms). The trained artifact is a 24 MB LoRA adapter; the full serving process fits under ~2 GB of RAM. The complete train/evaluate/iterate loop, including the one LoRA fine-tune, runs on a single 16 GB consumer machine, which is what made rapid iteration feasible.</w:t>
      </w:r>
    </w:p>
    <w:p>
      <w:pPr>
        <w:pStyle w:val="Head1"/>
      </w:pPr>
      <w:r>
        <w:t>8 Conclusion</w:t>
      </w:r>
    </w:p>
    <w:p>
      <w:pPr>
        <w:pStyle w:val="Para"/>
      </w:pPr>
      <w:r>
        <w:t>A conversational music recommender does not require a GPU cluster or a per-candidate neural reranker to be competitive. Fusing many inexpensive retrievers and letting a gradient-boosted ranker arbitrate them, with a single LoRA-adapted dialogue encoder for dense recall, reaches a composite of 0.49 on the blind generalization set while training and serving on one desktop. The largest gains came not from model capacity but from data hygiene: excluding seen tracks, learning the fusion instead of tuning it, and correctly handling a goal-progress feedback signal that is off-by-one in time, contaminated with rejected tracks, and absent at test time.</w:t>
      </w:r>
    </w:p>
    <w:p>
      <w:pPr>
        <w:pStyle w:val="AckHead"/>
      </w:pPr>
      <w:r>
        <w:t>ACKNOWLEDGMENTS</w:t>
      </w:r>
    </w:p>
    <w:p>
      <w:pPr>
        <w:pStyle w:val="AckPara"/>
      </w:pPr>
      <w:r>
        <w:t>Insert acknowledgments here.</w:t>
      </w:r>
    </w:p>
    <w:p>
      <w:pPr>
        <w:pStyle w:val="ReferenceHead"/>
      </w:pPr>
      <w:r>
        <w:t>REFERENCES</w:t>
      </w:r>
    </w:p>
    <w:p>
      <w:pPr>
        <w:pStyle w:val="Bibentry"/>
      </w:pPr>
      <w:r>
        <w:t>[1] Wang, L. et al. Multilingual E5 Text Embeddings. (</w:t>
      </w:r>
      <w:r>
        <w:rPr>
          <w:rFonts w:ascii="Courier New" w:hAnsi="Courier New"/>
        </w:rPr>
        <w:t>intfloat/multilingual-e5-base</w:t>
      </w:r>
      <w:r>
        <w:t>).</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(SASRec). In ICDM.</w:t>
      </w:r>
    </w:p>
    <w:p>
      <w:pPr>
        <w:pStyle w:val="Bibentry"/>
      </w:pPr>
      <w:r>
        <w:t>[7] Robertson, S. and Zaragoza, H. 2009. The Probabilistic Relevance Framework: BM25 and Beyond. Foundations and Trends in Information Retrieval.</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