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Multi-Turn Preference Elicitation in Dialogue-Aware Music Recommendation: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treats each dialogue turn's user reactions as a preference- elicitation signal for both retrieval and ranking. The dataset's goal-progress feedback is delayed by one turn and includes rejected tracks logged as if they were positives; we align the signal in time, remove rejected-track contamination from training, and reconstruct it from raw dialogue when it is withheld at test time. This signal drives a role-tagged dialogue anchor -- encoding prior turns, recommendations, and per-turn reactions -- behind a LoRA fine-tune of a 279M-parameter multilingual encoder, the system's only trained neural component. Retrieval around this anchor is a union of nine inexpensive sources arbitrated by a gradient-boosted learning-to-rank model over 67 features, with multi-source agreement the strongest single feature. The full pipeline trains and serves on a single consumer desktop with no discrete GPU, and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multi-turn preference elicitation, dialogue-aware recommendation, conversational recommendation, music recommendation, learning to rank, dense retrieval, LoRA fine-tuning, CPU-only inference</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treatment of the goal-progress feedback signal that is off-by-one in time and contaminated with rejected tracks: we align it, decontaminate it, and reconstruct it from raw dialogue when it is withheld at test time. (2) A structured, role-tagged dialogue anchor that encodes prior turns, recommendations, and per-turn reactions as explicit fields, paired with a priority-ordered hard-negative recipe that recycles confirmed session rejections as training negatives. (3) A dialogue-aware retriever: a LoRA fine-tune of </w:t>
      </w:r>
      <w:r>
        <w:rPr>
          <w:rFonts w:ascii="Courier New" w:hAnsi="Courier New"/>
        </w:rPr>
        <w:t>multilingual-e5-base</w:t>
      </w:r>
      <w:r>
        <w:t xml:space="preserve"> over that anchor, combining (1) and (2) into a single trained artifact. (4) A recall design that treats retrieval as </w:t>
      </w:r>
      <w:r>
        <w:rPr>
          <w:i/>
        </w:rPr>
        <w:t>set union, not weighted fusion</w:t>
      </w:r>
      <w:r>
        <w:t>: each source contributes candidates and per-source features, and a learned ranker decides how far to trust each; multi-source agreement is the single strongest feature.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sectPr>
          <w:type w:val="continuous"/>
          <w:pgSz w:w="12240" w:h="15840" w:code="9"/>
          <w:pgMar w:top="1500" w:right="1080" w:bottom="1600" w:left="1080" w:header="1080" w:footer="1080" w:gutter="0"/>
          <w:cols w:num="1"/>
        </w:sectPr>
      </w:pPr>
    </w:p>
    <w:p>
      <w:pPr>
        <w:pStyle w:val="TableCaption"/>
      </w:pPr>
      <w:r>
        <w:t>Table 1: The nine recall sources.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
        <w:gridCol w:w="2304"/>
        <w:gridCol w:w="1872"/>
        <w:gridCol w:w="5184"/>
      </w:tblGrid>
      <w:tr>
        <w:trPr>
          <w:tblHeader w:val="true"/>
        </w:trPr>
        <w:tc>
          <w:tcPr>
            <w:tcW w:type="dxa" w:w="720"/>
            <w:shd w:val="clear" w:color="auto" w:fill="E7E7E7"/>
            <w:tcBorders>
              <w:top w:val="single" w:sz="12" w:space="0" w:color="000000"/>
              <w:bottom w:val="single" w:sz="4" w:space="0" w:color="000000"/>
            </w:tcBorders>
          </w:tcPr>
          <w:p>
            <w:pPr>
              <w:jc w:val="center"/>
            </w:pPr>
            <w:r/>
            <w:r>
              <w:rPr>
                <w:b/>
                <w:sz w:val="18"/>
              </w:rPr>
              <w:t>#</w:t>
            </w:r>
          </w:p>
        </w:tc>
        <w:tc>
          <w:tcPr>
            <w:tcW w:type="dxa" w:w="2304"/>
            <w:shd w:val="clear" w:color="auto" w:fill="E7E7E7"/>
            <w:tcBorders>
              <w:top w:val="single" w:sz="12" w:space="0" w:color="000000"/>
              <w:bottom w:val="single" w:sz="4" w:space="0" w:color="000000"/>
            </w:tcBorders>
          </w:tcPr>
          <w:p>
            <w:pPr>
              <w:jc w:val="left"/>
            </w:pPr>
            <w:r/>
            <w:r>
              <w:rPr>
                <w:b/>
                <w:sz w:val="18"/>
              </w:rPr>
              <w:t>Source</w:t>
            </w:r>
          </w:p>
        </w:tc>
        <w:tc>
          <w:tcPr>
            <w:tcW w:type="dxa" w:w="1872"/>
            <w:shd w:val="clear" w:color="auto" w:fill="E7E7E7"/>
            <w:tcBorders>
              <w:top w:val="single" w:sz="12" w:space="0" w:color="000000"/>
              <w:bottom w:val="single" w:sz="4" w:space="0" w:color="000000"/>
            </w:tcBorders>
          </w:tcPr>
          <w:p>
            <w:pPr>
              <w:jc w:val="center"/>
            </w:pPr>
            <w:r/>
            <w:r>
              <w:rPr>
                <w:b/>
                <w:sz w:val="18"/>
              </w:rPr>
              <w:t>Budget</w:t>
            </w:r>
          </w:p>
        </w:tc>
        <w:tc>
          <w:tcPr>
            <w:tcW w:type="dxa" w:w="5184"/>
            <w:shd w:val="clear" w:color="auto" w:fill="E7E7E7"/>
            <w:tcBorders>
              <w:top w:val="single" w:sz="12" w:space="0" w:color="000000"/>
              <w:bottom w:val="single" w:sz="4" w:space="0" w:color="000000"/>
            </w:tcBorders>
          </w:tcPr>
          <w:p>
            <w:pPr>
              <w:jc w:val="left"/>
            </w:pPr>
            <w:r/>
            <w:r>
              <w:rPr>
                <w:b/>
                <w:sz w:val="18"/>
              </w:rPr>
              <w:t>Signal</w:t>
            </w:r>
          </w:p>
        </w:tc>
      </w:tr>
      <w:tr>
        <w:tc>
          <w:tcPr>
            <w:tcW w:type="dxa" w:w="720"/>
          </w:tcPr>
          <w:p>
            <w:pPr>
              <w:jc w:val="center"/>
            </w:pPr>
            <w:r>
              <w:rPr>
                <w:sz w:val="18"/>
              </w:rPr>
            </w:r>
            <w:r>
              <w:rPr>
                <w:sz w:val="18"/>
              </w:rPr>
              <w:t>1</w:t>
            </w:r>
          </w:p>
        </w:tc>
        <w:tc>
          <w:tcPr>
            <w:tcW w:type="dxa" w:w="2304"/>
          </w:tcPr>
          <w:p>
            <w:pPr>
              <w:jc w:val="left"/>
            </w:pPr>
            <w:r>
              <w:rPr>
                <w:sz w:val="18"/>
              </w:rPr>
            </w:r>
            <w:r>
              <w:rPr>
                <w:sz w:val="18"/>
              </w:rPr>
              <w:t>BM25 (Okapi)</w:t>
            </w:r>
          </w:p>
        </w:tc>
        <w:tc>
          <w:tcPr>
            <w:tcW w:type="dxa" w:w="1872"/>
          </w:tcPr>
          <w:p>
            <w:pPr>
              <w:jc w:val="center"/>
            </w:pPr>
            <w:r>
              <w:rPr>
                <w:sz w:val="18"/>
              </w:rPr>
            </w:r>
            <w:r>
              <w:rPr>
                <w:sz w:val="18"/>
              </w:rPr>
              <w:t>top-500</w:t>
            </w:r>
          </w:p>
        </w:tc>
        <w:tc>
          <w:tcPr>
            <w:tcW w:type="dxa" w:w="5184"/>
          </w:tcPr>
          <w:p>
            <w:pPr>
              <w:jc w:val="left"/>
            </w:pPr>
            <w:r>
              <w:rPr>
                <w:sz w:val="18"/>
              </w:rPr>
            </w:r>
            <w:r>
              <w:rPr>
                <w:sz w:val="18"/>
              </w:rPr>
              <w:t>lexical match on name/artist/album/tags</w:t>
            </w:r>
          </w:p>
        </w:tc>
      </w:tr>
      <w:tr>
        <w:tc>
          <w:tcPr>
            <w:tcW w:type="dxa" w:w="720"/>
          </w:tcPr>
          <w:p>
            <w:pPr>
              <w:jc w:val="center"/>
            </w:pPr>
            <w:r>
              <w:rPr>
                <w:sz w:val="18"/>
              </w:rPr>
            </w:r>
            <w:r>
              <w:rPr>
                <w:sz w:val="18"/>
              </w:rPr>
              <w:t>2</w:t>
            </w:r>
          </w:p>
        </w:tc>
        <w:tc>
          <w:tcPr>
            <w:tcW w:type="dxa" w:w="2304"/>
          </w:tcPr>
          <w:p>
            <w:pPr>
              <w:jc w:val="left"/>
            </w:pPr>
            <w:r>
              <w:rPr>
                <w:sz w:val="18"/>
              </w:rPr>
            </w:r>
            <w:r>
              <w:rPr>
                <w:sz w:val="18"/>
              </w:rPr>
              <w:t>Two-tower ANN</w:t>
            </w:r>
          </w:p>
        </w:tc>
        <w:tc>
          <w:tcPr>
            <w:tcW w:type="dxa" w:w="1872"/>
          </w:tcPr>
          <w:p>
            <w:pPr>
              <w:jc w:val="center"/>
            </w:pPr>
            <w:r>
              <w:rPr>
                <w:sz w:val="18"/>
              </w:rPr>
            </w:r>
            <w:r>
              <w:rPr>
                <w:sz w:val="18"/>
              </w:rPr>
              <w:t>top-2000</w:t>
            </w:r>
          </w:p>
        </w:tc>
        <w:tc>
          <w:tcPr>
            <w:tcW w:type="dxa" w:w="5184"/>
          </w:tcPr>
          <w:p>
            <w:pPr>
              <w:jc w:val="left"/>
            </w:pPr>
            <w:r>
              <w:rPr>
                <w:sz w:val="18"/>
              </w:rPr>
            </w:r>
            <w:r>
              <w:rPr>
                <w:sz w:val="18"/>
              </w:rPr>
              <w:t>fine-tuned conversational-intent match</w:t>
            </w:r>
          </w:p>
        </w:tc>
      </w:tr>
      <w:tr>
        <w:tc>
          <w:tcPr>
            <w:tcW w:type="dxa" w:w="720"/>
          </w:tcPr>
          <w:p>
            <w:pPr>
              <w:jc w:val="center"/>
            </w:pPr>
            <w:r>
              <w:rPr>
                <w:sz w:val="18"/>
              </w:rPr>
            </w:r>
            <w:r>
              <w:rPr>
                <w:sz w:val="18"/>
              </w:rPr>
              <w:t>3</w:t>
            </w:r>
          </w:p>
        </w:tc>
        <w:tc>
          <w:tcPr>
            <w:tcW w:type="dxa" w:w="2304"/>
          </w:tcPr>
          <w:p>
            <w:pPr>
              <w:jc w:val="left"/>
            </w:pPr>
            <w:r>
              <w:rPr>
                <w:sz w:val="18"/>
              </w:rPr>
            </w:r>
            <w:r>
              <w:rPr>
                <w:sz w:val="18"/>
              </w:rPr>
              <w:t>Last-track NN</w:t>
            </w:r>
          </w:p>
        </w:tc>
        <w:tc>
          <w:tcPr>
            <w:tcW w:type="dxa" w:w="1872"/>
          </w:tcPr>
          <w:p>
            <w:pPr>
              <w:jc w:val="center"/>
            </w:pPr>
            <w:r>
              <w:rPr>
                <w:sz w:val="18"/>
              </w:rPr>
            </w:r>
            <w:r>
              <w:rPr>
                <w:sz w:val="18"/>
              </w:rPr>
              <w:t>100 x last 2</w:t>
            </w:r>
          </w:p>
        </w:tc>
        <w:tc>
          <w:tcPr>
            <w:tcW w:type="dxa" w:w="5184"/>
          </w:tcPr>
          <w:p>
            <w:pPr>
              <w:jc w:val="left"/>
            </w:pPr>
            <w:r>
              <w:rPr>
                <w:sz w:val="18"/>
              </w:rPr>
            </w:r>
            <w:r>
              <w:rPr>
                <w:sz w:val="18"/>
              </w:rPr>
              <w:t>"more like what just played"</w:t>
            </w:r>
          </w:p>
        </w:tc>
      </w:tr>
      <w:tr>
        <w:tc>
          <w:tcPr>
            <w:tcW w:type="dxa" w:w="720"/>
          </w:tcPr>
          <w:p>
            <w:pPr>
              <w:jc w:val="center"/>
            </w:pPr>
            <w:r>
              <w:rPr>
                <w:sz w:val="18"/>
              </w:rPr>
            </w:r>
            <w:r>
              <w:rPr>
                <w:sz w:val="18"/>
              </w:rPr>
              <w:t>4</w:t>
            </w:r>
          </w:p>
        </w:tc>
        <w:tc>
          <w:tcPr>
            <w:tcW w:type="dxa" w:w="2304"/>
          </w:tcPr>
          <w:p>
            <w:pPr>
              <w:jc w:val="left"/>
            </w:pPr>
            <w:r>
              <w:rPr>
                <w:sz w:val="18"/>
              </w:rPr>
            </w:r>
            <w:r>
              <w:rPr>
                <w:sz w:val="18"/>
              </w:rPr>
              <w:t>Artist expansion</w:t>
            </w:r>
          </w:p>
        </w:tc>
        <w:tc>
          <w:tcPr>
            <w:tcW w:type="dxa" w:w="1872"/>
          </w:tcPr>
          <w:p>
            <w:pPr>
              <w:jc w:val="center"/>
            </w:pPr>
            <w:r>
              <w:rPr>
                <w:sz w:val="18"/>
              </w:rPr>
            </w:r>
            <w:r>
              <w:rPr>
                <w:sz w:val="18"/>
              </w:rPr>
              <w:t>discographies</w:t>
            </w:r>
          </w:p>
        </w:tc>
        <w:tc>
          <w:tcPr>
            <w:tcW w:type="dxa" w:w="5184"/>
          </w:tcPr>
          <w:p>
            <w:pPr>
              <w:jc w:val="left"/>
            </w:pPr>
            <w:r>
              <w:rPr>
                <w:sz w:val="18"/>
              </w:rPr>
            </w:r>
            <w:r>
              <w:rPr>
                <w:sz w:val="18"/>
              </w:rPr>
              <w:t>tracks by any retrieved/mentioned artist</w:t>
            </w:r>
          </w:p>
        </w:tc>
      </w:tr>
      <w:tr>
        <w:tc>
          <w:tcPr>
            <w:tcW w:type="dxa" w:w="720"/>
          </w:tcPr>
          <w:p>
            <w:pPr>
              <w:jc w:val="center"/>
            </w:pPr>
            <w:r>
              <w:rPr>
                <w:sz w:val="18"/>
              </w:rPr>
            </w:r>
            <w:r>
              <w:rPr>
                <w:sz w:val="18"/>
              </w:rPr>
              <w:t>5</w:t>
            </w:r>
          </w:p>
        </w:tc>
        <w:tc>
          <w:tcPr>
            <w:tcW w:type="dxa" w:w="2304"/>
          </w:tcPr>
          <w:p>
            <w:pPr>
              <w:jc w:val="left"/>
            </w:pPr>
            <w:r>
              <w:rPr>
                <w:sz w:val="18"/>
              </w:rPr>
            </w:r>
            <w:r>
              <w:rPr>
                <w:sz w:val="18"/>
              </w:rPr>
              <w:t>Qwen3-0.6B NN</w:t>
            </w:r>
          </w:p>
        </w:tc>
        <w:tc>
          <w:tcPr>
            <w:tcW w:type="dxa" w:w="1872"/>
          </w:tcPr>
          <w:p>
            <w:pPr>
              <w:jc w:val="center"/>
            </w:pPr>
            <w:r>
              <w:rPr>
                <w:sz w:val="18"/>
              </w:rPr>
            </w:r>
            <w:r>
              <w:rPr>
                <w:sz w:val="18"/>
              </w:rPr>
              <w:t>top-500</w:t>
            </w:r>
          </w:p>
        </w:tc>
        <w:tc>
          <w:tcPr>
            <w:tcW w:type="dxa" w:w="5184"/>
          </w:tcPr>
          <w:p>
            <w:pPr>
              <w:jc w:val="left"/>
            </w:pPr>
            <w:r>
              <w:rPr>
                <w:sz w:val="18"/>
              </w:rPr>
            </w:r>
            <w:r>
              <w:rPr>
                <w:sz w:val="18"/>
              </w:rPr>
              <w:t>second dense opinion, different space</w:t>
            </w:r>
          </w:p>
        </w:tc>
      </w:tr>
      <w:tr>
        <w:tc>
          <w:tcPr>
            <w:tcW w:type="dxa" w:w="720"/>
          </w:tcPr>
          <w:p>
            <w:pPr>
              <w:jc w:val="center"/>
            </w:pPr>
            <w:r>
              <w:rPr>
                <w:sz w:val="18"/>
              </w:rPr>
            </w:r>
            <w:r>
              <w:rPr>
                <w:sz w:val="18"/>
              </w:rPr>
              <w:t>6</w:t>
            </w:r>
          </w:p>
        </w:tc>
        <w:tc>
          <w:tcPr>
            <w:tcW w:type="dxa" w:w="2304"/>
          </w:tcPr>
          <w:p>
            <w:pPr>
              <w:jc w:val="left"/>
            </w:pPr>
            <w:r>
              <w:rPr>
                <w:sz w:val="18"/>
              </w:rPr>
            </w:r>
            <w:r>
              <w:rPr>
                <w:sz w:val="18"/>
              </w:rPr>
              <w:t>CF-BPR</w:t>
            </w:r>
          </w:p>
        </w:tc>
        <w:tc>
          <w:tcPr>
            <w:tcW w:type="dxa" w:w="1872"/>
          </w:tcPr>
          <w:p>
            <w:pPr>
              <w:jc w:val="center"/>
            </w:pPr>
            <w:r>
              <w:rPr>
                <w:sz w:val="18"/>
              </w:rPr>
            </w:r>
            <w:r>
              <w:rPr>
                <w:sz w:val="18"/>
              </w:rPr>
              <w:t>top-200</w:t>
            </w:r>
          </w:p>
        </w:tc>
        <w:tc>
          <w:tcPr>
            <w:tcW w:type="dxa" w:w="5184"/>
          </w:tcPr>
          <w:p>
            <w:pPr>
              <w:jc w:val="left"/>
            </w:pPr>
            <w:r>
              <w:rPr>
                <w:sz w:val="18"/>
              </w:rPr>
            </w:r>
            <w:r>
              <w:rPr>
                <w:sz w:val="18"/>
              </w:rPr>
              <w:t>collaborative signal, warm users only</w:t>
            </w:r>
          </w:p>
        </w:tc>
      </w:tr>
      <w:tr>
        <w:tc>
          <w:tcPr>
            <w:tcW w:type="dxa" w:w="720"/>
          </w:tcPr>
          <w:p>
            <w:pPr>
              <w:jc w:val="center"/>
            </w:pPr>
            <w:r>
              <w:rPr>
                <w:sz w:val="18"/>
              </w:rPr>
            </w:r>
            <w:r>
              <w:rPr>
                <w:sz w:val="18"/>
              </w:rPr>
              <w:t>7</w:t>
            </w:r>
          </w:p>
        </w:tc>
        <w:tc>
          <w:tcPr>
            <w:tcW w:type="dxa" w:w="2304"/>
          </w:tcPr>
          <w:p>
            <w:pPr>
              <w:jc w:val="left"/>
            </w:pPr>
            <w:r>
              <w:rPr>
                <w:sz w:val="18"/>
              </w:rPr>
            </w:r>
            <w:r>
              <w:rPr>
                <w:sz w:val="18"/>
              </w:rPr>
              <w:t>Session-mean NN</w:t>
            </w:r>
          </w:p>
        </w:tc>
        <w:tc>
          <w:tcPr>
            <w:tcW w:type="dxa" w:w="1872"/>
          </w:tcPr>
          <w:p>
            <w:pPr>
              <w:jc w:val="center"/>
            </w:pPr>
            <w:r>
              <w:rPr>
                <w:sz w:val="18"/>
              </w:rPr>
            </w:r>
            <w:r>
              <w:rPr>
                <w:sz w:val="18"/>
              </w:rPr>
              <w:t>top-100</w:t>
            </w:r>
          </w:p>
        </w:tc>
        <w:tc>
          <w:tcPr>
            <w:tcW w:type="dxa" w:w="5184"/>
          </w:tcPr>
          <w:p>
            <w:pPr>
              <w:jc w:val="left"/>
            </w:pPr>
            <w:r>
              <w:rPr>
                <w:sz w:val="18"/>
              </w:rPr>
            </w:r>
            <w:r>
              <w:rPr>
                <w:sz w:val="18"/>
              </w:rPr>
              <w:t>neighbors of the session taste centroid</w:t>
            </w:r>
          </w:p>
        </w:tc>
      </w:tr>
      <w:tr>
        <w:tc>
          <w:tcPr>
            <w:tcW w:type="dxa" w:w="720"/>
          </w:tcPr>
          <w:p>
            <w:pPr>
              <w:jc w:val="center"/>
            </w:pPr>
            <w:r>
              <w:rPr>
                <w:sz w:val="18"/>
              </w:rPr>
            </w:r>
            <w:r>
              <w:rPr>
                <w:sz w:val="18"/>
              </w:rPr>
              <w:t>8</w:t>
            </w:r>
          </w:p>
        </w:tc>
        <w:tc>
          <w:tcPr>
            <w:tcW w:type="dxa" w:w="2304"/>
          </w:tcPr>
          <w:p>
            <w:pPr>
              <w:jc w:val="left"/>
            </w:pPr>
            <w:r>
              <w:rPr>
                <w:sz w:val="18"/>
              </w:rPr>
            </w:r>
            <w:r>
              <w:rPr>
                <w:sz w:val="18"/>
              </w:rPr>
              <w:t>Co-occurrence</w:t>
            </w:r>
          </w:p>
        </w:tc>
        <w:tc>
          <w:tcPr>
            <w:tcW w:type="dxa" w:w="1872"/>
          </w:tcPr>
          <w:p>
            <w:pPr>
              <w:jc w:val="center"/>
            </w:pPr>
            <w:r>
              <w:rPr>
                <w:sz w:val="18"/>
              </w:rPr>
            </w:r>
            <w:r>
              <w:rPr>
                <w:sz w:val="18"/>
              </w:rPr>
              <w:t>300/150/50</w:t>
            </w:r>
          </w:p>
        </w:tc>
        <w:tc>
          <w:tcPr>
            <w:tcW w:type="dxa" w:w="5184"/>
          </w:tcPr>
          <w:p>
            <w:pPr>
              <w:jc w:val="left"/>
            </w:pPr>
            <w:r>
              <w:rPr>
                <w:sz w:val="18"/>
              </w:rPr>
            </w:r>
            <w:r>
              <w:rPr>
                <w:sz w:val="18"/>
              </w:rPr>
              <w:t>tracks that followed recent history</w:t>
            </w:r>
          </w:p>
        </w:tc>
      </w:tr>
      <w:tr>
        <w:tc>
          <w:tcPr>
            <w:tcW w:type="dxa" w:w="720"/>
            <w:tcBorders>
              <w:bottom w:val="single" w:sz="12" w:space="0" w:color="000000"/>
            </w:tcBorders>
          </w:tcPr>
          <w:p>
            <w:pPr>
              <w:jc w:val="center"/>
            </w:pPr>
            <w:r>
              <w:rPr>
                <w:sz w:val="18"/>
              </w:rPr>
            </w:r>
            <w:r>
              <w:rPr>
                <w:sz w:val="18"/>
              </w:rPr>
              <w:t>9</w:t>
            </w:r>
          </w:p>
        </w:tc>
        <w:tc>
          <w:tcPr>
            <w:tcW w:type="dxa" w:w="2304"/>
            <w:tcBorders>
              <w:bottom w:val="single" w:sz="12" w:space="0" w:color="000000"/>
            </w:tcBorders>
          </w:tcPr>
          <w:p>
            <w:pPr>
              <w:jc w:val="left"/>
            </w:pPr>
            <w:r>
              <w:rPr>
                <w:sz w:val="18"/>
              </w:rPr>
            </w:r>
            <w:r>
              <w:rPr>
                <w:sz w:val="18"/>
              </w:rPr>
              <w:t>SASRec buckets</w:t>
            </w:r>
          </w:p>
        </w:tc>
        <w:tc>
          <w:tcPr>
            <w:tcW w:type="dxa" w:w="1872"/>
            <w:tcBorders>
              <w:bottom w:val="single" w:sz="12" w:space="0" w:color="000000"/>
            </w:tcBorders>
          </w:tcPr>
          <w:p>
            <w:pPr>
              <w:jc w:val="center"/>
            </w:pPr>
            <w:r>
              <w:rPr>
                <w:sz w:val="18"/>
              </w:rPr>
            </w:r>
            <w:r>
              <w:rPr>
                <w:sz w:val="18"/>
              </w:rPr>
              <w:t>cap 300</w:t>
            </w:r>
          </w:p>
        </w:tc>
        <w:tc>
          <w:tcPr>
            <w:tcW w:type="dxa" w:w="5184"/>
            <w:tcBorders>
              <w:bottom w:val="single" w:sz="12" w:space="0" w:color="000000"/>
            </w:tcBorders>
          </w:tcPr>
          <w:p>
            <w:pPr>
              <w:jc w:val="left"/>
            </w:pPr>
            <w:r>
              <w:rPr>
                <w:sz w:val="18"/>
              </w:rPr>
            </w:r>
            <w:r>
              <w:rPr>
                <w:sz w:val="18"/>
              </w:rPr>
              <w:t>next semantic-bucket expansion (optional)</w:t>
            </w:r>
          </w:p>
        </w:tc>
      </w:tr>
    </w:tbl>
    <w:p>
      <w:pPr>
        <w:sectPr>
          <w:type w:val="continuous"/>
          <w:pgSz w:w="12240" w:h="15840" w:code="9"/>
          <w:pgMar w:top="1500" w:right="1080" w:bottom="1600" w:left="1080" w:header="1080" w:footer="1080" w:gutter="0"/>
          <w:cols w:num="2" w:space="480"/>
        </w:sectPr>
      </w:pPr>
    </w:p>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sectPr>
          <w:type w:val="continuous"/>
          <w:pgSz w:w="12240" w:h="15840" w:code="9"/>
          <w:pgMar w:top="1500" w:right="1080" w:bottom="1600" w:left="1080" w:header="1080" w:footer="1080" w:gutter="0"/>
          <w:cols w:num="1"/>
        </w:sectPr>
      </w:pPr>
    </w:p>
    <w:p>
      <w:pPr>
        <w:pStyle w:val="TableCaption"/>
      </w:pPr>
      <w:r>
        <w:t>Table 2: Rescorer feature groups (67 features).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160"/>
        <w:gridCol w:w="7920"/>
      </w:tblGrid>
      <w:tr>
        <w:trPr>
          <w:tblHeader w:val="true"/>
        </w:trPr>
        <w:tc>
          <w:tcPr>
            <w:tcW w:type="dxa" w:w="2160"/>
            <w:shd w:val="clear" w:color="auto" w:fill="E7E7E7"/>
            <w:tcBorders>
              <w:top w:val="single" w:sz="12" w:space="0" w:color="000000"/>
              <w:bottom w:val="single" w:sz="4" w:space="0" w:color="000000"/>
            </w:tcBorders>
          </w:tcPr>
          <w:p>
            <w:pPr>
              <w:jc w:val="left"/>
            </w:pPr>
            <w:r/>
            <w:r>
              <w:rPr>
                <w:b/>
                <w:sz w:val="18"/>
              </w:rPr>
              <w:t>Group</w:t>
            </w:r>
          </w:p>
        </w:tc>
        <w:tc>
          <w:tcPr>
            <w:tcW w:type="dxa" w:w="7920"/>
            <w:shd w:val="clear" w:color="auto" w:fill="E7E7E7"/>
            <w:tcBorders>
              <w:top w:val="single" w:sz="12" w:space="0" w:color="000000"/>
              <w:bottom w:val="single" w:sz="4" w:space="0" w:color="000000"/>
            </w:tcBorders>
          </w:tcPr>
          <w:p>
            <w:pPr>
              <w:jc w:val="left"/>
            </w:pPr>
            <w:r/>
            <w:r>
              <w:rPr>
                <w:b/>
                <w:sz w:val="18"/>
              </w:rPr>
              <w:t>Features</w:t>
            </w:r>
          </w:p>
        </w:tc>
      </w:tr>
      <w:tr>
        <w:tc>
          <w:tcPr>
            <w:tcW w:type="dxa" w:w="2160"/>
          </w:tcPr>
          <w:p>
            <w:pPr>
              <w:jc w:val="left"/>
            </w:pPr>
            <w:r>
              <w:rPr>
                <w:sz w:val="18"/>
              </w:rPr>
            </w:r>
            <w:r>
              <w:rPr>
                <w:sz w:val="18"/>
              </w:rPr>
              <w:t>A. Retrieval scores</w:t>
            </w:r>
          </w:p>
        </w:tc>
        <w:tc>
          <w:tcPr>
            <w:tcW w:type="dxa" w:w="7920"/>
          </w:tcPr>
          <w:p>
            <w:pPr>
              <w:jc w:val="left"/>
            </w:pPr>
            <w:r>
              <w:rPr>
                <w:sz w:val="18"/>
              </w:rPr>
            </w:r>
            <w:r>
              <w:rPr>
                <w:sz w:val="18"/>
              </w:rPr>
              <w:t>two-tower cosine and rank; Qwen3 metadata and lyrics cosines; CLAP audio cosine; CF cosine; BM25 reciprocal rank; co-occurrence rank</w:t>
            </w:r>
          </w:p>
        </w:tc>
      </w:tr>
      <w:tr>
        <w:tc>
          <w:tcPr>
            <w:tcW w:type="dxa" w:w="2160"/>
          </w:tcPr>
          <w:p>
            <w:pPr>
              <w:jc w:val="left"/>
            </w:pPr>
            <w:r>
              <w:rPr>
                <w:sz w:val="18"/>
              </w:rPr>
            </w:r>
            <w:r>
              <w:rPr>
                <w:sz w:val="18"/>
              </w:rPr>
              <w:t>B. Source agreement</w:t>
            </w:r>
          </w:p>
        </w:tc>
        <w:tc>
          <w:tcPr>
            <w:tcW w:type="dxa" w:w="7920"/>
          </w:tcPr>
          <w:p>
            <w:pPr>
              <w:jc w:val="left"/>
            </w:pPr>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2160"/>
          </w:tcPr>
          <w:p>
            <w:pPr>
              <w:jc w:val="left"/>
            </w:pPr>
            <w:r>
              <w:rPr>
                <w:sz w:val="18"/>
              </w:rPr>
            </w:r>
            <w:r>
              <w:rPr>
                <w:sz w:val="18"/>
              </w:rPr>
              <w:t>C. Track metadata</w:t>
            </w:r>
          </w:p>
        </w:tc>
        <w:tc>
          <w:tcPr>
            <w:tcW w:type="dxa" w:w="7920"/>
          </w:tcPr>
          <w:p>
            <w:pPr>
              <w:jc w:val="left"/>
            </w:pPr>
            <w:r>
              <w:rPr>
                <w:sz w:val="18"/>
              </w:rPr>
            </w:r>
            <w:r>
              <w:rPr>
                <w:sz w:val="18"/>
              </w:rPr>
              <w:t>popularity percentile; years since release; request-tag overlap</w:t>
            </w:r>
          </w:p>
        </w:tc>
      </w:tr>
      <w:tr>
        <w:tc>
          <w:tcPr>
            <w:tcW w:type="dxa" w:w="2160"/>
          </w:tcPr>
          <w:p>
            <w:pPr>
              <w:jc w:val="left"/>
            </w:pPr>
            <w:r>
              <w:rPr>
                <w:sz w:val="18"/>
              </w:rPr>
            </w:r>
            <w:r>
              <w:rPr>
                <w:sz w:val="18"/>
              </w:rPr>
              <w:t>D. Session state (GPA)</w:t>
            </w:r>
          </w:p>
        </w:tc>
        <w:tc>
          <w:tcPr>
            <w:tcW w:type="dxa" w:w="7920"/>
          </w:tcPr>
          <w:p>
            <w:pPr>
              <w:jc w:val="left"/>
            </w:pPr>
            <w:r>
              <w:rPr>
                <w:sz w:val="18"/>
              </w:rPr>
            </w:r>
            <w:r>
              <w:rPr>
                <w:sz w:val="18"/>
              </w:rPr>
              <w:t>cosine to accepted- and to rejected-history centroids; artist-in-rejected-set; accepted/rejected turn counts; consecutive rejections; CF distance to history</w:t>
            </w:r>
          </w:p>
        </w:tc>
      </w:tr>
      <w:tr>
        <w:tc>
          <w:tcPr>
            <w:tcW w:type="dxa" w:w="2160"/>
          </w:tcPr>
          <w:p>
            <w:pPr>
              <w:jc w:val="left"/>
            </w:pPr>
            <w:r>
              <w:rPr>
                <w:sz w:val="18"/>
              </w:rPr>
            </w:r>
            <w:r>
              <w:rPr>
                <w:sz w:val="18"/>
              </w:rPr>
              <w:t>E. Intent extraction</w:t>
            </w:r>
          </w:p>
        </w:tc>
        <w:tc>
          <w:tcPr>
            <w:tcW w:type="dxa" w:w="7920"/>
          </w:tcPr>
          <w:p>
            <w:pPr>
              <w:jc w:val="left"/>
            </w:pPr>
            <w:r>
              <w:rPr>
                <w:sz w:val="18"/>
              </w:rPr>
            </w:r>
            <w:r>
              <w:rPr>
                <w:sz w:val="18"/>
              </w:rPr>
              <w:t>era/genre/mood keywords parsed from the request; candidate era/genre match; album continuity; within-artist popularity and transition ranks; bucket-match counts</w:t>
            </w:r>
          </w:p>
        </w:tc>
      </w:tr>
      <w:tr>
        <w:tc>
          <w:tcPr>
            <w:tcW w:type="dxa" w:w="2160"/>
            <w:tcBorders>
              <w:bottom w:val="single" w:sz="12" w:space="0" w:color="000000"/>
            </w:tcBorders>
          </w:tcPr>
          <w:p>
            <w:pPr>
              <w:jc w:val="left"/>
            </w:pPr>
            <w:r>
              <w:rPr>
                <w:sz w:val="18"/>
              </w:rPr>
            </w:r>
            <w:r>
              <w:rPr>
                <w:sz w:val="18"/>
              </w:rPr>
              <w:t>F. Sequential ID</w:t>
            </w:r>
          </w:p>
        </w:tc>
        <w:tc>
          <w:tcPr>
            <w:tcW w:type="dxa" w:w="7920"/>
            <w:tcBorders>
              <w:bottom w:val="single" w:sz="12" w:space="0" w:color="000000"/>
            </w:tcBorders>
          </w:tcPr>
          <w:p>
            <w:pPr>
              <w:jc w:val="left"/>
            </w:pPr>
            <w:r>
              <w:rPr>
                <w:sz w:val="18"/>
              </w:rPr>
            </w:r>
            <w:r>
              <w:rPr>
                <w:sz w:val="18"/>
              </w:rPr>
              <w:t>SASRec bucket-origin and rank (optional configuration)</w:t>
            </w:r>
          </w:p>
        </w:tc>
      </w:tr>
    </w:tbl>
    <w:p>
      <w:pPr>
        <w:sectPr>
          <w:type w:val="continuous"/>
          <w:pgSz w:w="12240" w:h="15840" w:code="9"/>
          <w:pgMar w:top="1500" w:right="1080" w:bottom="1600" w:left="1080" w:header="1080" w:footer="1080" w:gutter="0"/>
          <w:cols w:num="2" w:space="480"/>
        </w:sectPr>
      </w:pPr>
    </w:p>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w:t>
      </w:r>
    </w:p>
    <w:p>
      <w:pPr>
        <w:sectPr>
          <w:type w:val="continuous"/>
          <w:pgSz w:w="12240" w:h="15840" w:code="9"/>
          <w:pgMar w:top="1500" w:right="1080" w:bottom="1600" w:left="1080" w:header="1080" w:footer="1080" w:gutter="0"/>
          <w:cols w:num="1"/>
        </w:sectPr>
      </w:pPr>
    </w:p>
    <w:p>
      <w:pPr>
        <w:pStyle w:val="TableCaption"/>
      </w:pPr>
      <w:r>
        <w:t>Table 3: Development nDCG@20 after each load-bearing change.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776"/>
        <w:gridCol w:w="2304"/>
      </w:tblGrid>
      <w:tr>
        <w:trPr>
          <w:tblHeader w:val="true"/>
        </w:trPr>
        <w:tc>
          <w:tcPr>
            <w:tcW w:type="dxa" w:w="7776"/>
            <w:shd w:val="clear" w:color="auto" w:fill="E7E7E7"/>
            <w:tcBorders>
              <w:top w:val="single" w:sz="12" w:space="0" w:color="000000"/>
              <w:bottom w:val="single" w:sz="4" w:space="0" w:color="000000"/>
            </w:tcBorders>
          </w:tcPr>
          <w:p>
            <w:pPr>
              <w:jc w:val="left"/>
            </w:pPr>
            <w:r/>
            <w:r>
              <w:rPr>
                <w:b/>
                <w:sz w:val="18"/>
              </w:rPr>
              <w:t>Change</w:t>
            </w:r>
          </w:p>
        </w:tc>
        <w:tc>
          <w:tcPr>
            <w:tcW w:type="dxa" w:w="2304"/>
            <w:shd w:val="clear" w:color="auto" w:fill="E7E7E7"/>
            <w:tcBorders>
              <w:top w:val="single" w:sz="12" w:space="0" w:color="000000"/>
              <w:bottom w:val="single" w:sz="4" w:space="0" w:color="000000"/>
            </w:tcBorders>
          </w:tcPr>
          <w:p>
            <w:pPr>
              <w:jc w:val="right"/>
            </w:pPr>
            <w:r/>
            <w:r>
              <w:rPr>
                <w:b/>
                <w:sz w:val="18"/>
              </w:rPr>
              <w:t>nDCG@20</w:t>
            </w:r>
          </w:p>
        </w:tc>
      </w:tr>
      <w:tr>
        <w:tc>
          <w:tcPr>
            <w:tcW w:type="dxa" w:w="7776"/>
          </w:tcPr>
          <w:p>
            <w:pPr>
              <w:jc w:val="left"/>
            </w:pPr>
            <w:r>
              <w:rPr>
                <w:sz w:val="18"/>
              </w:rPr>
            </w:r>
            <w:r>
              <w:rPr>
                <w:sz w:val="18"/>
              </w:rPr>
              <w:t>BM25 over name + artist + album</w:t>
            </w:r>
          </w:p>
        </w:tc>
        <w:tc>
          <w:tcPr>
            <w:tcW w:type="dxa" w:w="2304"/>
          </w:tcPr>
          <w:p>
            <w:pPr>
              <w:jc w:val="right"/>
            </w:pPr>
            <w:r>
              <w:rPr>
                <w:sz w:val="18"/>
              </w:rPr>
            </w:r>
            <w:r>
              <w:rPr>
                <w:sz w:val="18"/>
              </w:rPr>
              <w:t>0.0861</w:t>
            </w:r>
          </w:p>
        </w:tc>
      </w:tr>
      <w:tr>
        <w:tc>
          <w:tcPr>
            <w:tcW w:type="dxa" w:w="7776"/>
          </w:tcPr>
          <w:p>
            <w:pPr>
              <w:jc w:val="left"/>
            </w:pPr>
            <w:r>
              <w:rPr>
                <w:sz w:val="18"/>
              </w:rPr>
            </w:r>
            <w:r>
              <w:rPr>
                <w:sz w:val="18"/>
              </w:rPr>
              <w:t>+ index the tag list</w:t>
            </w:r>
          </w:p>
        </w:tc>
        <w:tc>
          <w:tcPr>
            <w:tcW w:type="dxa" w:w="2304"/>
          </w:tcPr>
          <w:p>
            <w:pPr>
              <w:jc w:val="right"/>
            </w:pPr>
            <w:r>
              <w:rPr>
                <w:sz w:val="18"/>
              </w:rPr>
            </w:r>
            <w:r>
              <w:rPr>
                <w:sz w:val="18"/>
              </w:rPr>
              <w:t>0.0960</w:t>
            </w:r>
          </w:p>
        </w:tc>
      </w:tr>
      <w:tr>
        <w:tc>
          <w:tcPr>
            <w:tcW w:type="dxa" w:w="7776"/>
          </w:tcPr>
          <w:p>
            <w:pPr>
              <w:jc w:val="left"/>
            </w:pPr>
            <w:r>
              <w:rPr>
                <w:sz w:val="18"/>
              </w:rPr>
            </w:r>
            <w:r>
              <w:rPr>
                <w:sz w:val="18"/>
              </w:rPr>
              <w:t>+ exclude already-played tracks</w:t>
            </w:r>
          </w:p>
        </w:tc>
        <w:tc>
          <w:tcPr>
            <w:tcW w:type="dxa" w:w="2304"/>
          </w:tcPr>
          <w:p>
            <w:pPr>
              <w:jc w:val="right"/>
            </w:pPr>
            <w:r>
              <w:rPr>
                <w:sz w:val="18"/>
              </w:rPr>
            </w:r>
            <w:r>
              <w:rPr>
                <w:sz w:val="18"/>
              </w:rPr>
              <w:t>0.1313</w:t>
            </w:r>
          </w:p>
        </w:tc>
      </w:tr>
      <w:tr>
        <w:tc>
          <w:tcPr>
            <w:tcW w:type="dxa" w:w="7776"/>
          </w:tcPr>
          <w:p>
            <w:pPr>
              <w:jc w:val="left"/>
            </w:pPr>
            <w:r>
              <w:rPr>
                <w:sz w:val="18"/>
              </w:rPr>
            </w:r>
            <w:r>
              <w:rPr>
                <w:sz w:val="18"/>
              </w:rPr>
              <w:t>+ fine-tuned two-tower, linear fusion</w:t>
            </w:r>
          </w:p>
        </w:tc>
        <w:tc>
          <w:tcPr>
            <w:tcW w:type="dxa" w:w="2304"/>
          </w:tcPr>
          <w:p>
            <w:pPr>
              <w:jc w:val="right"/>
            </w:pPr>
            <w:r>
              <w:rPr>
                <w:sz w:val="18"/>
              </w:rPr>
            </w:r>
            <w:r>
              <w:rPr>
                <w:sz w:val="18"/>
              </w:rPr>
              <w:t>0.1418</w:t>
            </w:r>
          </w:p>
        </w:tc>
      </w:tr>
      <w:tr>
        <w:tc>
          <w:tcPr>
            <w:tcW w:type="dxa" w:w="7776"/>
          </w:tcPr>
          <w:p>
            <w:pPr>
              <w:jc w:val="left"/>
            </w:pPr>
            <w:r>
              <w:rPr>
                <w:sz w:val="18"/>
              </w:rPr>
            </w:r>
            <w:r>
              <w:rPr>
                <w:sz w:val="18"/>
              </w:rPr>
              <w:t>+ multi-source pool expansion</w:t>
            </w:r>
          </w:p>
        </w:tc>
        <w:tc>
          <w:tcPr>
            <w:tcW w:type="dxa" w:w="2304"/>
          </w:tcPr>
          <w:p>
            <w:pPr>
              <w:jc w:val="right"/>
            </w:pPr>
            <w:r>
              <w:rPr>
                <w:sz w:val="18"/>
              </w:rPr>
            </w:r>
            <w:r>
              <w:rPr>
                <w:sz w:val="18"/>
              </w:rPr>
              <w:t>0.1533</w:t>
            </w:r>
          </w:p>
        </w:tc>
      </w:tr>
      <w:tr>
        <w:tc>
          <w:tcPr>
            <w:tcW w:type="dxa" w:w="7776"/>
          </w:tcPr>
          <w:p>
            <w:pPr>
              <w:jc w:val="left"/>
            </w:pPr>
            <w:r>
              <w:rPr>
                <w:sz w:val="18"/>
              </w:rPr>
            </w:r>
            <w:r>
              <w:rPr>
                <w:sz w:val="18"/>
              </w:rPr>
              <w:t>+ LightGBM LambdaMART replaces linear fusion</w:t>
            </w:r>
          </w:p>
        </w:tc>
        <w:tc>
          <w:tcPr>
            <w:tcW w:type="dxa" w:w="2304"/>
          </w:tcPr>
          <w:p>
            <w:pPr>
              <w:jc w:val="right"/>
            </w:pPr>
            <w:r>
              <w:rPr>
                <w:sz w:val="18"/>
              </w:rPr>
            </w:r>
            <w:r>
              <w:rPr>
                <w:sz w:val="18"/>
              </w:rPr>
              <w:t>0.1609</w:t>
            </w:r>
          </w:p>
        </w:tc>
      </w:tr>
      <w:tr>
        <w:tc>
          <w:tcPr>
            <w:tcW w:type="dxa" w:w="7776"/>
          </w:tcPr>
          <w:p>
            <w:pPr>
              <w:jc w:val="left"/>
            </w:pPr>
            <w:r>
              <w:rPr>
                <w:sz w:val="18"/>
              </w:rPr>
            </w:r>
            <w:r>
              <w:rPr>
                <w:sz w:val="18"/>
              </w:rPr>
              <w:t>+ feature engineering, larger two-tower pool</w:t>
            </w:r>
          </w:p>
        </w:tc>
        <w:tc>
          <w:tcPr>
            <w:tcW w:type="dxa" w:w="2304"/>
          </w:tcPr>
          <w:p>
            <w:pPr>
              <w:jc w:val="right"/>
            </w:pPr>
            <w:r>
              <w:rPr>
                <w:sz w:val="18"/>
              </w:rPr>
            </w:r>
            <w:r>
              <w:rPr>
                <w:sz w:val="18"/>
              </w:rPr>
              <w:t>0.1684</w:t>
            </w:r>
          </w:p>
        </w:tc>
      </w:tr>
      <w:tr>
        <w:tc>
          <w:tcPr>
            <w:tcW w:type="dxa" w:w="7776"/>
          </w:tcPr>
          <w:p>
            <w:pPr>
              <w:jc w:val="left"/>
            </w:pPr>
            <w:r>
              <w:rPr>
                <w:sz w:val="18"/>
              </w:rPr>
            </w:r>
            <w:r>
              <w:rPr>
                <w:sz w:val="18"/>
              </w:rPr>
              <w:t>+ E5 role-tagged dialogue anchor</w:t>
            </w:r>
          </w:p>
        </w:tc>
        <w:tc>
          <w:tcPr>
            <w:tcW w:type="dxa" w:w="2304"/>
          </w:tcPr>
          <w:p>
            <w:pPr>
              <w:jc w:val="right"/>
            </w:pPr>
            <w:r>
              <w:rPr>
                <w:sz w:val="18"/>
              </w:rPr>
            </w:r>
            <w:r>
              <w:rPr>
                <w:sz w:val="18"/>
              </w:rPr>
              <w:t>0.1748</w:t>
            </w:r>
          </w:p>
        </w:tc>
      </w:tr>
      <w:tr>
        <w:tc>
          <w:tcPr>
            <w:tcW w:type="dxa" w:w="7776"/>
            <w:tcBorders>
              <w:bottom w:val="single" w:sz="12" w:space="0" w:color="000000"/>
            </w:tcBorders>
          </w:tcPr>
          <w:p>
            <w:pPr>
              <w:jc w:val="left"/>
            </w:pPr>
            <w:r>
              <w:rPr>
                <w:sz w:val="18"/>
              </w:rPr>
            </w:r>
            <w:r>
              <w:rPr>
                <w:sz w:val="18"/>
              </w:rPr>
              <w:t>+ GPA-aware inference and intent features</w:t>
            </w:r>
          </w:p>
        </w:tc>
        <w:tc>
          <w:tcPr>
            <w:tcW w:type="dxa" w:w="2304"/>
            <w:tcBorders>
              <w:bottom w:val="single" w:sz="12" w:space="0" w:color="000000"/>
            </w:tcBorders>
          </w:tcPr>
          <w:p>
            <w:pPr>
              <w:jc w:val="right"/>
            </w:pPr>
            <w:r>
              <w:rPr>
                <w:sz w:val="18"/>
              </w:rPr>
            </w:r>
            <w:r>
              <w:rPr>
                <w:sz w:val="18"/>
              </w:rPr>
              <w:t>0.1864</w:t>
            </w:r>
          </w:p>
        </w:tc>
      </w:tr>
    </w:tbl>
    <w:p>
      <w:pPr>
        <w:sectPr>
          <w:type w:val="continuous"/>
          <w:pgSz w:w="12240" w:h="15840" w:code="9"/>
          <w:pgMar w:top="1500" w:right="1080" w:bottom="1600" w:left="1080" w:header="1080" w:footer="1080" w:gutter="0"/>
          <w:cols w:num="2" w:space="480"/>
        </w:sectPr>
      </w:pPr>
    </w:p>
    <w:p>
      <w:pPr>
        <w:pStyle w:val="Head2"/>
      </w:pPr>
      <w:r>
        <w:t>5.1 What We Tried and Why It Didn't Work</w:t>
      </w:r>
    </w:p>
    <w:p>
      <w:pPr>
        <w:pStyle w:val="Para"/>
      </w:pPr>
      <w:r>
        <w:t>Several directions that looked promising on paper were dropped after measurement. We report them because the reasons they failed are more informative than the numbers in Table 3 alone.</w:t>
      </w:r>
    </w:p>
    <w:p>
      <w:pPr>
        <w:pStyle w:val="Para"/>
      </w:pPr>
      <w:r>
        <w:rPr>
          <w:b/>
        </w:rPr>
        <w:t>Reranking on top of LambdaMART.</w:t>
      </w:r>
      <w:r>
        <w:t xml:space="preserve"> Every attempt to re-rank the LambdaMART output with a second, more "semantic" model underperformed the LambdaMART-only baseline (Table 3a). A pre-trained cross-encoder with no TalkPlay fine-tuning underperformed outright. A fine-tuned cross-encoder (bge-reranker-v2-m3, pool-aware negatives) regressed to dev nDCG@20 = 0.1228, a large drop -- but the cause was not the reranking idea itself, it was trained on a stale </w:t>
      </w:r>
      <w:r>
        <w:rPr>
          <w:rFonts w:ascii="Courier New" w:hAnsi="Courier New"/>
        </w:rPr>
        <w:t>[TURN-N]</w:t>
      </w:r>
      <w:r>
        <w:t xml:space="preserve"> anchor format that no longer matched the shipped anchor once the encoder moved to the v8d format, a data mismatch rather than a modeling failure. A local Gemma-3-12b model doing conservative top-25-to-20 pruning regressed slightly (0.0812 vs. 0.0818 baseline on a 50-session pilot). The clearest case was a zero-shot Qwen3-8B reranker applied to the Blind A submission: nDCG@20 fell from 0.3990 to 0.3310, lexical diversity collapsed from 0.5909 to 0.0125, the judge score fell from 1.90 to 1.15, and composite fell from 0.3291 to 0.1811. The intuition that unifies all four cases: none of these rerankers had access to the structural signal LambdaMART uses instead -- explicit multi-source agreement and GPA-derived session-state features (Table 2, groups B and D) -- so an unfine-tuned or mismatched model instead gravitates toward generically "safe" or near-identical tracks across sessions, a failure mode invisible to nDCG@20 alone but catastrophic for lexical diversity and judge quality. The retained system (LambdaMART only, no added reranker) is the positive case here: its composite score beats every reranked variant we tried.</w:t>
      </w:r>
    </w:p>
    <w:p>
      <w:pPr>
        <w:sectPr>
          <w:type w:val="continuous"/>
          <w:pgSz w:w="12240" w:h="15840" w:code="9"/>
          <w:pgMar w:top="1500" w:right="1080" w:bottom="1600" w:left="1080" w:header="1080" w:footer="1080" w:gutter="0"/>
          <w:cols w:num="1"/>
        </w:sectPr>
      </w:pPr>
    </w:p>
    <w:p>
      <w:pPr>
        <w:pStyle w:val="TableCaption"/>
      </w:pPr>
      <w:r>
        <w:t>Table 3a: Reranking attempts on top of the LambdaMART baseline.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880"/>
        <w:gridCol w:w="4031"/>
        <w:gridCol w:w="3168"/>
      </w:tblGrid>
      <w:tr>
        <w:trPr>
          <w:tblHeader w:val="true"/>
        </w:trPr>
        <w:tc>
          <w:tcPr>
            <w:tcW w:type="dxa" w:w="2880"/>
            <w:shd w:val="clear" w:color="auto" w:fill="E7E7E7"/>
            <w:tcBorders>
              <w:top w:val="single" w:sz="12" w:space="0" w:color="000000"/>
              <w:bottom w:val="single" w:sz="4" w:space="0" w:color="000000"/>
            </w:tcBorders>
          </w:tcPr>
          <w:p>
            <w:pPr>
              <w:jc w:val="left"/>
            </w:pPr>
            <w:r/>
            <w:r>
              <w:rPr>
                <w:b/>
                <w:sz w:val="18"/>
              </w:rPr>
              <w:t>Attempt</w:t>
            </w:r>
          </w:p>
        </w:tc>
        <w:tc>
          <w:tcPr>
            <w:tcW w:type="dxa" w:w="4032"/>
            <w:shd w:val="clear" w:color="auto" w:fill="E7E7E7"/>
            <w:tcBorders>
              <w:top w:val="single" w:sz="12" w:space="0" w:color="000000"/>
              <w:bottom w:val="single" w:sz="4" w:space="0" w:color="000000"/>
            </w:tcBorders>
          </w:tcPr>
          <w:p>
            <w:pPr>
              <w:jc w:val="left"/>
            </w:pPr>
            <w:r/>
            <w:r>
              <w:rPr>
                <w:b/>
                <w:sz w:val="18"/>
              </w:rPr>
              <w:t>Result</w:t>
            </w:r>
          </w:p>
        </w:tc>
        <w:tc>
          <w:tcPr>
            <w:tcW w:type="dxa" w:w="3168"/>
            <w:shd w:val="clear" w:color="auto" w:fill="E7E7E7"/>
            <w:tcBorders>
              <w:top w:val="single" w:sz="12" w:space="0" w:color="000000"/>
              <w:bottom w:val="single" w:sz="4" w:space="0" w:color="000000"/>
            </w:tcBorders>
          </w:tcPr>
          <w:p>
            <w:pPr>
              <w:jc w:val="left"/>
            </w:pPr>
            <w:r/>
            <w:r>
              <w:rPr>
                <w:b/>
                <w:sz w:val="18"/>
              </w:rPr>
              <w:t>Verdict</w:t>
            </w:r>
          </w:p>
        </w:tc>
      </w:tr>
      <w:tr>
        <w:tc>
          <w:tcPr>
            <w:tcW w:type="dxa" w:w="2880"/>
          </w:tcPr>
          <w:p>
            <w:pPr>
              <w:jc w:val="left"/>
            </w:pPr>
            <w:r>
              <w:rPr>
                <w:sz w:val="18"/>
              </w:rPr>
            </w:r>
            <w:r>
              <w:rPr>
                <w:sz w:val="18"/>
              </w:rPr>
              <w:t>Pre-trained cross-encoder (no fine-tune)</w:t>
            </w:r>
          </w:p>
        </w:tc>
        <w:tc>
          <w:tcPr>
            <w:tcW w:type="dxa" w:w="4032"/>
          </w:tcPr>
          <w:p>
            <w:pPr>
              <w:jc w:val="left"/>
            </w:pPr>
            <w:r>
              <w:rPr>
                <w:sz w:val="18"/>
              </w:rPr>
            </w:r>
            <w:r>
              <w:rPr>
                <w:sz w:val="18"/>
              </w:rPr>
              <w:t>underperformed the LambdaMART baseline</w:t>
            </w:r>
          </w:p>
        </w:tc>
        <w:tc>
          <w:tcPr>
            <w:tcW w:type="dxa" w:w="3168"/>
          </w:tcPr>
          <w:p>
            <w:pPr>
              <w:jc w:val="left"/>
            </w:pPr>
            <w:r>
              <w:rPr>
                <w:sz w:val="18"/>
              </w:rPr>
            </w:r>
            <w:r>
              <w:rPr>
                <w:sz w:val="18"/>
              </w:rPr>
              <w:t>no domain adaptation to TalkPlay dialogue/track text</w:t>
            </w:r>
          </w:p>
        </w:tc>
      </w:tr>
      <w:tr>
        <w:tc>
          <w:tcPr>
            <w:tcW w:type="dxa" w:w="2880"/>
          </w:tcPr>
          <w:p>
            <w:pPr>
              <w:jc w:val="left"/>
            </w:pPr>
            <w:r>
              <w:rPr>
                <w:sz w:val="18"/>
              </w:rPr>
            </w:r>
            <w:r>
              <w:rPr>
                <w:sz w:val="18"/>
              </w:rPr>
              <w:t>Fine-tuned cross-encoder (bge-reranker-v2-m3)</w:t>
            </w:r>
          </w:p>
        </w:tc>
        <w:tc>
          <w:tcPr>
            <w:tcW w:type="dxa" w:w="4032"/>
          </w:tcPr>
          <w:p>
            <w:pPr>
              <w:jc w:val="left"/>
            </w:pPr>
            <w:r>
              <w:rPr>
                <w:sz w:val="18"/>
              </w:rPr>
            </w:r>
            <w:r>
              <w:rPr>
                <w:sz w:val="18"/>
              </w:rPr>
              <w:t>dev nDCG@20 = 0.1228 (large regression)</w:t>
            </w:r>
          </w:p>
        </w:tc>
        <w:tc>
          <w:tcPr>
            <w:tcW w:type="dxa" w:w="3168"/>
          </w:tcPr>
          <w:p>
            <w:pPr>
              <w:jc w:val="left"/>
            </w:pPr>
            <w:r>
              <w:rPr>
                <w:sz w:val="18"/>
              </w:rPr>
            </w:r>
            <w:r>
              <w:rPr>
                <w:sz w:val="18"/>
              </w:rPr>
              <w:t>trained on a stale anchor format, mismatched with the shipped encoder</w:t>
            </w:r>
          </w:p>
        </w:tc>
      </w:tr>
      <w:tr>
        <w:tc>
          <w:tcPr>
            <w:tcW w:type="dxa" w:w="2880"/>
          </w:tcPr>
          <w:p>
            <w:pPr>
              <w:jc w:val="left"/>
            </w:pPr>
            <w:r>
              <w:rPr>
                <w:sz w:val="18"/>
              </w:rPr>
            </w:r>
            <w:r>
              <w:rPr>
                <w:sz w:val="18"/>
              </w:rPr>
              <w:t>Gemma-3-12b conservative pruning (25→20)</w:t>
            </w:r>
          </w:p>
        </w:tc>
        <w:tc>
          <w:tcPr>
            <w:tcW w:type="dxa" w:w="4032"/>
          </w:tcPr>
          <w:p>
            <w:pPr>
              <w:jc w:val="left"/>
            </w:pPr>
            <w:r>
              <w:rPr>
                <w:sz w:val="18"/>
              </w:rPr>
            </w:r>
            <w:r>
              <w:rPr>
                <w:sz w:val="18"/>
              </w:rPr>
              <w:t>0.0812 vs. 0.0818 baseline</w:t>
            </w:r>
          </w:p>
        </w:tc>
        <w:tc>
          <w:tcPr>
            <w:tcW w:type="dxa" w:w="3168"/>
          </w:tcPr>
          <w:p>
            <w:pPr>
              <w:jc w:val="left"/>
            </w:pPr>
            <w:r>
              <w:rPr>
                <w:sz w:val="18"/>
              </w:rPr>
            </w:r>
            <w:r>
              <w:rPr>
                <w:sz w:val="18"/>
              </w:rPr>
              <w:t>regression</w:t>
            </w:r>
          </w:p>
        </w:tc>
      </w:tr>
      <w:tr>
        <w:tc>
          <w:tcPr>
            <w:tcW w:type="dxa" w:w="2880"/>
            <w:tcBorders>
              <w:bottom w:val="single" w:sz="12" w:space="0" w:color="000000"/>
            </w:tcBorders>
          </w:tcPr>
          <w:p>
            <w:pPr>
              <w:jc w:val="left"/>
            </w:pPr>
            <w:r>
              <w:rPr>
                <w:sz w:val="18"/>
              </w:rPr>
            </w:r>
            <w:r>
              <w:rPr>
                <w:sz w:val="18"/>
              </w:rPr>
              <w:t>Zero-shot Qwen3-8B reranker</w:t>
            </w:r>
          </w:p>
        </w:tc>
        <w:tc>
          <w:tcPr>
            <w:tcW w:type="dxa" w:w="4032"/>
            <w:tcBorders>
              <w:bottom w:val="single" w:sz="12" w:space="0" w:color="000000"/>
            </w:tcBorders>
          </w:tcPr>
          <w:p>
            <w:pPr>
              <w:jc w:val="left"/>
            </w:pPr>
            <w:r>
              <w:rPr>
                <w:sz w:val="18"/>
              </w:rPr>
            </w:r>
            <w:r>
              <w:rPr>
                <w:sz w:val="18"/>
              </w:rPr>
              <w:t>Blind A nDCG@20 0.3990→0.3310, lex. div. 0.5909→0.0125, judge 1.90→1.15, composite 0.3291→0.1811</w:t>
            </w:r>
          </w:p>
        </w:tc>
        <w:tc>
          <w:tcPr>
            <w:tcW w:type="dxa" w:w="3168"/>
            <w:tcBorders>
              <w:bottom w:val="single" w:sz="12" w:space="0" w:color="000000"/>
            </w:tcBorders>
          </w:tcPr>
          <w:p>
            <w:pPr>
              <w:jc w:val="left"/>
            </w:pPr>
            <w:r>
              <w:rPr>
                <w:sz w:val="18"/>
              </w:rPr>
            </w:r>
            <w:r>
              <w:rPr>
                <w:sz w:val="18"/>
              </w:rPr>
              <w:t>diversity collapse</w:t>
            </w:r>
          </w:p>
        </w:tc>
      </w:tr>
    </w:tbl>
    <w:p>
      <w:pPr>
        <w:sectPr>
          <w:type w:val="continuous"/>
          <w:pgSz w:w="12240" w:h="15840" w:code="9"/>
          <w:pgMar w:top="1500" w:right="1080" w:bottom="1600" w:left="1080" w:header="1080" w:footer="1080" w:gutter="0"/>
          <w:cols w:num="2" w:space="480"/>
        </w:sectPr>
      </w:pPr>
    </w:p>
    <w:p>
      <w:pPr>
        <w:pStyle w:val="Para"/>
      </w:pPr>
      <w:r>
        <w:rPr>
          <w:b/>
        </w:rPr>
        <w:t>Hard negatives that taught the wrong lesson.</w:t>
      </w:r>
      <w:r>
        <w:t xml:space="preserve"> An earlier two-tower iteration (v4) trained with </w:t>
      </w:r>
      <w:r>
        <w:rPr>
          <w:rFonts w:ascii="Courier New" w:hAnsi="Courier New"/>
        </w:rPr>
        <w:t>MultipleNegativesRankingLoss</w:t>
      </w:r>
      <w:r>
        <w:t xml:space="preserve"> and BM25-top-5 hard negatives regressed dev nDCG@20 to 0.1364, worse than the 0.1418 reached without hard negatives at all. Our reading: BM25-top-5 negatives are lexically close to the positive but not necessarily wrong in intent, so the loss pushed the encoder to separate on superficial lexical features rather than dialogue intent. This result is why the shipped model (Section 3.2) mines hard negatives in a strict priority order -- confirmed session rejections first, then BM25 near-misses, then same-artist distractors, then in-batch negatives -- and never treats a raw BM25 top-K result as a hard negative on its own.</w:t>
      </w:r>
    </w:p>
    <w:p>
      <w:pPr>
        <w:pStyle w:val="Para"/>
      </w:pPr>
      <w:r>
        <w:rPr>
          <w:b/>
        </w:rPr>
        <w:t>Development and blind generalization can disagree.</w:t>
      </w:r>
      <w:r>
        <w:t xml:space="preserve"> Adding progress-aware retrieval and ranking (H1/H3, Section 3.3) to an intermediate two-tower model (v8b) dropped dev nDCG@20 from 0.1684 to 0.1615, a regression on the development metric, while Blind A nDCG rose to 0.3701, a gain over the prior no-GPA baseline. Judged on dev alone, this change would have been reverted. We instead adopted two working rules from this case: a feature whose importance swings by more than 50% across the 5 cross-validation folds is flagged as unstable and treated with suspicion, and a regression on the blind set is weighed as costing more than the sum of all dev-set gains, since blind sessions -- with goal, GPA, and thoughts removed -- are the harder, more representative target.</w:t>
      </w:r>
    </w:p>
    <w:p>
      <w:pPr>
        <w:pStyle w:val="Head2"/>
      </w:pPr>
      <w:r>
        <w:t>5.2 Behavior Across Goal-Category Types</w:t>
      </w:r>
    </w:p>
    <w:p>
      <w:pPr>
        <w:pStyle w:val="Para"/>
      </w:pPr>
      <w:r>
        <w:t>Not everything trains the same behavior. Each session's goal falls into one of 11 categories (Table 3b); dev nDCG@20 for the shipped configuration ranges from 0.1326 (Category I) to 0.1953 (Category F). The weakest four categories (I, C, K, J) are all narrow, exact-match requests; the strongest three (E, F, H) are broad or multi-faceted requests.</w:t>
      </w:r>
    </w:p>
    <w:p>
      <w:pPr>
        <w:sectPr>
          <w:type w:val="continuous"/>
          <w:pgSz w:w="12240" w:h="15840" w:code="9"/>
          <w:pgMar w:top="1500" w:right="1080" w:bottom="1600" w:left="1080" w:header="1080" w:footer="1080" w:gutter="0"/>
          <w:cols w:num="1"/>
        </w:sectPr>
      </w:pPr>
    </w:p>
    <w:p>
      <w:pPr>
        <w:pStyle w:val="TableCaption"/>
      </w:pPr>
      <w:r>
        <w:t>Table 3b: Dev nDCG@20 by goal category.</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864"/>
        <w:gridCol w:w="7056"/>
        <w:gridCol w:w="2160"/>
      </w:tblGrid>
      <w:tr>
        <w:trPr>
          <w:tblHeader w:val="true"/>
        </w:trPr>
        <w:tc>
          <w:tcPr>
            <w:tcW w:type="dxa" w:w="864"/>
            <w:shd w:val="clear" w:color="auto" w:fill="E7E7E7"/>
            <w:tcBorders>
              <w:top w:val="single" w:sz="12" w:space="0" w:color="000000"/>
              <w:bottom w:val="single" w:sz="4" w:space="0" w:color="000000"/>
            </w:tcBorders>
          </w:tcPr>
          <w:p>
            <w:pPr>
              <w:jc w:val="center"/>
            </w:pPr>
            <w:r/>
            <w:r>
              <w:rPr>
                <w:b/>
                <w:sz w:val="18"/>
              </w:rPr>
              <w:t>Cat</w:t>
            </w:r>
          </w:p>
        </w:tc>
        <w:tc>
          <w:tcPr>
            <w:tcW w:type="dxa" w:w="7056"/>
            <w:shd w:val="clear" w:color="auto" w:fill="E7E7E7"/>
            <w:tcBorders>
              <w:top w:val="single" w:sz="12" w:space="0" w:color="000000"/>
              <w:bottom w:val="single" w:sz="4" w:space="0" w:color="000000"/>
            </w:tcBorders>
          </w:tcPr>
          <w:p>
            <w:pPr>
              <w:jc w:val="left"/>
            </w:pPr>
            <w:r/>
            <w:r>
              <w:rPr>
                <w:b/>
                <w:sz w:val="18"/>
              </w:rPr>
              <w:t>Type</w:t>
            </w:r>
          </w:p>
        </w:tc>
        <w:tc>
          <w:tcPr>
            <w:tcW w:type="dxa" w:w="2160"/>
            <w:shd w:val="clear" w:color="auto" w:fill="E7E7E7"/>
            <w:tcBorders>
              <w:top w:val="single" w:sz="12" w:space="0" w:color="000000"/>
              <w:bottom w:val="single" w:sz="4" w:space="0" w:color="000000"/>
            </w:tcBorders>
          </w:tcPr>
          <w:p>
            <w:pPr>
              <w:jc w:val="right"/>
            </w:pPr>
            <w:r/>
            <w:r>
              <w:rPr>
                <w:b/>
                <w:sz w:val="18"/>
              </w:rPr>
              <w:t>nDCG@20</w:t>
            </w:r>
          </w:p>
        </w:tc>
      </w:tr>
      <w:tr>
        <w:tc>
          <w:tcPr>
            <w:tcW w:type="dxa" w:w="864"/>
          </w:tcPr>
          <w:p>
            <w:pPr>
              <w:jc w:val="center"/>
            </w:pPr>
            <w:r>
              <w:rPr>
                <w:sz w:val="18"/>
              </w:rPr>
            </w:r>
            <w:r>
              <w:rPr>
                <w:sz w:val="18"/>
              </w:rPr>
              <w:t>I</w:t>
            </w:r>
          </w:p>
        </w:tc>
        <w:tc>
          <w:tcPr>
            <w:tcW w:type="dxa" w:w="7056"/>
          </w:tcPr>
          <w:p>
            <w:pPr>
              <w:jc w:val="left"/>
            </w:pPr>
            <w:r>
              <w:rPr>
                <w:sz w:val="18"/>
              </w:rPr>
            </w:r>
            <w:r>
              <w:rPr>
                <w:sz w:val="18"/>
              </w:rPr>
              <w:t>specific globally popular song</w:t>
            </w:r>
          </w:p>
        </w:tc>
        <w:tc>
          <w:tcPr>
            <w:tcW w:type="dxa" w:w="2160"/>
          </w:tcPr>
          <w:p>
            <w:pPr>
              <w:jc w:val="right"/>
            </w:pPr>
            <w:r>
              <w:rPr>
                <w:sz w:val="18"/>
              </w:rPr>
            </w:r>
            <w:r>
              <w:rPr>
                <w:sz w:val="18"/>
              </w:rPr>
              <w:t>0.1326</w:t>
            </w:r>
          </w:p>
        </w:tc>
      </w:tr>
      <w:tr>
        <w:tc>
          <w:tcPr>
            <w:tcW w:type="dxa" w:w="864"/>
          </w:tcPr>
          <w:p>
            <w:pPr>
              <w:jc w:val="center"/>
            </w:pPr>
            <w:r>
              <w:rPr>
                <w:sz w:val="18"/>
              </w:rPr>
            </w:r>
            <w:r>
              <w:rPr>
                <w:sz w:val="18"/>
              </w:rPr>
              <w:t>C</w:t>
            </w:r>
          </w:p>
        </w:tc>
        <w:tc>
          <w:tcPr>
            <w:tcW w:type="dxa" w:w="7056"/>
          </w:tcPr>
          <w:p>
            <w:pPr>
              <w:jc w:val="left"/>
            </w:pPr>
            <w:r>
              <w:rPr>
                <w:sz w:val="18"/>
              </w:rPr>
            </w:r>
            <w:r>
              <w:rPr>
                <w:sz w:val="18"/>
              </w:rPr>
              <w:t>specific album by description</w:t>
            </w:r>
          </w:p>
        </w:tc>
        <w:tc>
          <w:tcPr>
            <w:tcW w:type="dxa" w:w="2160"/>
          </w:tcPr>
          <w:p>
            <w:pPr>
              <w:jc w:val="right"/>
            </w:pPr>
            <w:r>
              <w:rPr>
                <w:sz w:val="18"/>
              </w:rPr>
            </w:r>
            <w:r>
              <w:rPr>
                <w:sz w:val="18"/>
              </w:rPr>
              <w:t>0.1332</w:t>
            </w:r>
          </w:p>
        </w:tc>
      </w:tr>
      <w:tr>
        <w:tc>
          <w:tcPr>
            <w:tcW w:type="dxa" w:w="864"/>
          </w:tcPr>
          <w:p>
            <w:pPr>
              <w:jc w:val="center"/>
            </w:pPr>
            <w:r>
              <w:rPr>
                <w:sz w:val="18"/>
              </w:rPr>
            </w:r>
            <w:r>
              <w:rPr>
                <w:sz w:val="18"/>
              </w:rPr>
              <w:t>K</w:t>
            </w:r>
          </w:p>
        </w:tc>
        <w:tc>
          <w:tcPr>
            <w:tcW w:type="dxa" w:w="7056"/>
          </w:tcPr>
          <w:p>
            <w:pPr>
              <w:jc w:val="left"/>
            </w:pPr>
            <w:r>
              <w:rPr>
                <w:sz w:val="18"/>
              </w:rPr>
            </w:r>
            <w:r>
              <w:rPr>
                <w:sz w:val="18"/>
              </w:rPr>
              <w:t>discover, multi-instrumental, broad era</w:t>
            </w:r>
          </w:p>
        </w:tc>
        <w:tc>
          <w:tcPr>
            <w:tcW w:type="dxa" w:w="2160"/>
          </w:tcPr>
          <w:p>
            <w:pPr>
              <w:jc w:val="right"/>
            </w:pPr>
            <w:r>
              <w:rPr>
                <w:sz w:val="18"/>
              </w:rPr>
            </w:r>
            <w:r>
              <w:rPr>
                <w:sz w:val="18"/>
              </w:rPr>
              <w:t>0.1367</w:t>
            </w:r>
          </w:p>
        </w:tc>
      </w:tr>
      <w:tr>
        <w:tc>
          <w:tcPr>
            <w:tcW w:type="dxa" w:w="864"/>
          </w:tcPr>
          <w:p>
            <w:pPr>
              <w:jc w:val="center"/>
            </w:pPr>
            <w:r>
              <w:rPr>
                <w:sz w:val="18"/>
              </w:rPr>
            </w:r>
            <w:r>
              <w:rPr>
                <w:sz w:val="18"/>
              </w:rPr>
              <w:t>J</w:t>
            </w:r>
          </w:p>
        </w:tc>
        <w:tc>
          <w:tcPr>
            <w:tcW w:type="dxa" w:w="7056"/>
          </w:tcPr>
          <w:p>
            <w:pPr>
              <w:jc w:val="left"/>
            </w:pPr>
            <w:r>
              <w:rPr>
                <w:sz w:val="18"/>
              </w:rPr>
            </w:r>
            <w:r>
              <w:rPr>
                <w:sz w:val="18"/>
              </w:rPr>
              <w:t>specific hit</w:t>
            </w:r>
          </w:p>
        </w:tc>
        <w:tc>
          <w:tcPr>
            <w:tcW w:type="dxa" w:w="2160"/>
          </w:tcPr>
          <w:p>
            <w:pPr>
              <w:jc w:val="right"/>
            </w:pPr>
            <w:r>
              <w:rPr>
                <w:sz w:val="18"/>
              </w:rPr>
            </w:r>
            <w:r>
              <w:rPr>
                <w:sz w:val="18"/>
              </w:rPr>
              <w:t>0.1585</w:t>
            </w:r>
          </w:p>
        </w:tc>
      </w:tr>
      <w:tr>
        <w:tc>
          <w:tcPr>
            <w:tcW w:type="dxa" w:w="864"/>
          </w:tcPr>
          <w:p>
            <w:pPr>
              <w:jc w:val="center"/>
            </w:pPr>
            <w:r>
              <w:rPr>
                <w:sz w:val="18"/>
              </w:rPr>
            </w:r>
            <w:r>
              <w:rPr>
                <w:sz w:val="18"/>
              </w:rPr>
              <w:t>G</w:t>
            </w:r>
          </w:p>
        </w:tc>
        <w:tc>
          <w:tcPr>
            <w:tcW w:type="dxa" w:w="7056"/>
          </w:tcPr>
          <w:p>
            <w:pPr>
              <w:jc w:val="left"/>
            </w:pPr>
            <w:r>
              <w:rPr>
                <w:sz w:val="18"/>
              </w:rPr>
            </w:r>
            <w:r>
              <w:rPr>
                <w:sz w:val="18"/>
              </w:rPr>
              <w:t>multi mood</w:t>
            </w:r>
          </w:p>
        </w:tc>
        <w:tc>
          <w:tcPr>
            <w:tcW w:type="dxa" w:w="2160"/>
          </w:tcPr>
          <w:p>
            <w:pPr>
              <w:jc w:val="right"/>
            </w:pPr>
            <w:r>
              <w:rPr>
                <w:sz w:val="18"/>
              </w:rPr>
            </w:r>
            <w:r>
              <w:rPr>
                <w:sz w:val="18"/>
              </w:rPr>
              <w:t>0.1605</w:t>
            </w:r>
          </w:p>
        </w:tc>
      </w:tr>
      <w:tr>
        <w:tc>
          <w:tcPr>
            <w:tcW w:type="dxa" w:w="864"/>
          </w:tcPr>
          <w:p>
            <w:pPr>
              <w:jc w:val="center"/>
            </w:pPr>
            <w:r>
              <w:rPr>
                <w:sz w:val="18"/>
              </w:rPr>
            </w:r>
            <w:r>
              <w:rPr>
                <w:sz w:val="18"/>
              </w:rPr>
              <w:t>A</w:t>
            </w:r>
          </w:p>
        </w:tc>
        <w:tc>
          <w:tcPr>
            <w:tcW w:type="dxa" w:w="7056"/>
          </w:tcPr>
          <w:p>
            <w:pPr>
              <w:jc w:val="left"/>
            </w:pPr>
            <w:r>
              <w:rPr>
                <w:sz w:val="18"/>
              </w:rPr>
            </w:r>
            <w:r>
              <w:rPr>
                <w:sz w:val="18"/>
              </w:rPr>
              <w:t>specific instrumental (game/movie)</w:t>
            </w:r>
          </w:p>
        </w:tc>
        <w:tc>
          <w:tcPr>
            <w:tcW w:type="dxa" w:w="2160"/>
          </w:tcPr>
          <w:p>
            <w:pPr>
              <w:jc w:val="right"/>
            </w:pPr>
            <w:r>
              <w:rPr>
                <w:sz w:val="18"/>
              </w:rPr>
            </w:r>
            <w:r>
              <w:rPr>
                <w:sz w:val="18"/>
              </w:rPr>
              <w:t>0.1639</w:t>
            </w:r>
          </w:p>
        </w:tc>
      </w:tr>
      <w:tr>
        <w:tc>
          <w:tcPr>
            <w:tcW w:type="dxa" w:w="864"/>
          </w:tcPr>
          <w:p>
            <w:pPr>
              <w:jc w:val="center"/>
            </w:pPr>
            <w:r>
              <w:rPr>
                <w:sz w:val="18"/>
              </w:rPr>
            </w:r>
            <w:r>
              <w:rPr>
                <w:sz w:val="18"/>
              </w:rPr>
              <w:t>D</w:t>
            </w:r>
          </w:p>
        </w:tc>
        <w:tc>
          <w:tcPr>
            <w:tcW w:type="dxa" w:w="7056"/>
          </w:tcPr>
          <w:p>
            <w:pPr>
              <w:jc w:val="left"/>
            </w:pPr>
            <w:r>
              <w:rPr>
                <w:sz w:val="18"/>
              </w:rPr>
            </w:r>
            <w:r>
              <w:rPr>
                <w:sz w:val="18"/>
              </w:rPr>
              <w:t>specific soundtrack</w:t>
            </w:r>
          </w:p>
        </w:tc>
        <w:tc>
          <w:tcPr>
            <w:tcW w:type="dxa" w:w="2160"/>
          </w:tcPr>
          <w:p>
            <w:pPr>
              <w:jc w:val="right"/>
            </w:pPr>
            <w:r>
              <w:rPr>
                <w:sz w:val="18"/>
              </w:rPr>
            </w:r>
            <w:r>
              <w:rPr>
                <w:sz w:val="18"/>
              </w:rPr>
              <w:t>0.1653</w:t>
            </w:r>
          </w:p>
        </w:tc>
      </w:tr>
      <w:tr>
        <w:tc>
          <w:tcPr>
            <w:tcW w:type="dxa" w:w="864"/>
          </w:tcPr>
          <w:p>
            <w:pPr>
              <w:jc w:val="center"/>
            </w:pPr>
            <w:r>
              <w:rPr>
                <w:sz w:val="18"/>
              </w:rPr>
            </w:r>
            <w:r>
              <w:rPr>
                <w:sz w:val="18"/>
              </w:rPr>
              <w:t>B</w:t>
            </w:r>
          </w:p>
        </w:tc>
        <w:tc>
          <w:tcPr>
            <w:tcW w:type="dxa" w:w="7056"/>
          </w:tcPr>
          <w:p>
            <w:pPr>
              <w:jc w:val="left"/>
            </w:pPr>
            <w:r>
              <w:rPr>
                <w:sz w:val="18"/>
              </w:rPr>
            </w:r>
            <w:r>
              <w:rPr>
                <w:sz w:val="18"/>
              </w:rPr>
              <w:t>specific by lyric phrase</w:t>
            </w:r>
          </w:p>
        </w:tc>
        <w:tc>
          <w:tcPr>
            <w:tcW w:type="dxa" w:w="2160"/>
          </w:tcPr>
          <w:p>
            <w:pPr>
              <w:jc w:val="right"/>
            </w:pPr>
            <w:r>
              <w:rPr>
                <w:sz w:val="18"/>
              </w:rPr>
            </w:r>
            <w:r>
              <w:rPr>
                <w:sz w:val="18"/>
              </w:rPr>
              <w:t>0.1807</w:t>
            </w:r>
          </w:p>
        </w:tc>
      </w:tr>
      <w:tr>
        <w:tc>
          <w:tcPr>
            <w:tcW w:type="dxa" w:w="864"/>
          </w:tcPr>
          <w:p>
            <w:pPr>
              <w:jc w:val="center"/>
            </w:pPr>
            <w:r>
              <w:rPr>
                <w:sz w:val="18"/>
              </w:rPr>
            </w:r>
            <w:r>
              <w:rPr>
                <w:sz w:val="18"/>
              </w:rPr>
              <w:t>H</w:t>
            </w:r>
          </w:p>
        </w:tc>
        <w:tc>
          <w:tcPr>
            <w:tcW w:type="dxa" w:w="7056"/>
          </w:tcPr>
          <w:p>
            <w:pPr>
              <w:jc w:val="left"/>
            </w:pPr>
            <w:r>
              <w:rPr>
                <w:sz w:val="18"/>
              </w:rPr>
            </w:r>
            <w:r>
              <w:rPr>
                <w:sz w:val="18"/>
              </w:rPr>
              <w:t>multi artists</w:t>
            </w:r>
          </w:p>
        </w:tc>
        <w:tc>
          <w:tcPr>
            <w:tcW w:type="dxa" w:w="2160"/>
          </w:tcPr>
          <w:p>
            <w:pPr>
              <w:jc w:val="right"/>
            </w:pPr>
            <w:r>
              <w:rPr>
                <w:sz w:val="18"/>
              </w:rPr>
            </w:r>
            <w:r>
              <w:rPr>
                <w:sz w:val="18"/>
              </w:rPr>
              <w:t>0.1884</w:t>
            </w:r>
          </w:p>
        </w:tc>
      </w:tr>
      <w:tr>
        <w:tc>
          <w:tcPr>
            <w:tcW w:type="dxa" w:w="864"/>
          </w:tcPr>
          <w:p>
            <w:pPr>
              <w:jc w:val="center"/>
            </w:pPr>
            <w:r>
              <w:rPr>
                <w:sz w:val="18"/>
              </w:rPr>
            </w:r>
            <w:r>
              <w:rPr>
                <w:sz w:val="18"/>
              </w:rPr>
              <w:t>E</w:t>
            </w:r>
          </w:p>
        </w:tc>
        <w:tc>
          <w:tcPr>
            <w:tcW w:type="dxa" w:w="7056"/>
          </w:tcPr>
          <w:p>
            <w:pPr>
              <w:jc w:val="left"/>
            </w:pPr>
            <w:r>
              <w:rPr>
                <w:sz w:val="18"/>
              </w:rPr>
            </w:r>
            <w:r>
              <w:rPr>
                <w:sz w:val="18"/>
              </w:rPr>
              <w:t>musical journey, multi</w:t>
            </w:r>
          </w:p>
        </w:tc>
        <w:tc>
          <w:tcPr>
            <w:tcW w:type="dxa" w:w="2160"/>
          </w:tcPr>
          <w:p>
            <w:pPr>
              <w:jc w:val="right"/>
            </w:pPr>
            <w:r>
              <w:rPr>
                <w:sz w:val="18"/>
              </w:rPr>
            </w:r>
            <w:r>
              <w:rPr>
                <w:sz w:val="18"/>
              </w:rPr>
              <w:t>0.1945</w:t>
            </w:r>
          </w:p>
        </w:tc>
      </w:tr>
      <w:tr>
        <w:tc>
          <w:tcPr>
            <w:tcW w:type="dxa" w:w="864"/>
            <w:tcBorders>
              <w:bottom w:val="single" w:sz="12" w:space="0" w:color="000000"/>
            </w:tcBorders>
          </w:tcPr>
          <w:p>
            <w:pPr>
              <w:jc w:val="center"/>
            </w:pPr>
            <w:r>
              <w:rPr>
                <w:sz w:val="18"/>
              </w:rPr>
            </w:r>
            <w:r>
              <w:rPr>
                <w:sz w:val="18"/>
              </w:rPr>
              <w:t>F</w:t>
            </w:r>
          </w:p>
        </w:tc>
        <w:tc>
          <w:tcPr>
            <w:tcW w:type="dxa" w:w="7056"/>
            <w:tcBorders>
              <w:bottom w:val="single" w:sz="12" w:space="0" w:color="000000"/>
            </w:tcBorders>
          </w:tcPr>
          <w:p>
            <w:pPr>
              <w:jc w:val="left"/>
            </w:pPr>
            <w:r>
              <w:rPr>
                <w:sz w:val="18"/>
              </w:rPr>
            </w:r>
            <w:r>
              <w:rPr>
                <w:sz w:val="18"/>
              </w:rPr>
              <w:t>multi era/genre</w:t>
            </w:r>
          </w:p>
        </w:tc>
        <w:tc>
          <w:tcPr>
            <w:tcW w:type="dxa" w:w="2160"/>
            <w:tcBorders>
              <w:bottom w:val="single" w:sz="12" w:space="0" w:color="000000"/>
            </w:tcBorders>
          </w:tcPr>
          <w:p>
            <w:pPr>
              <w:jc w:val="right"/>
            </w:pPr>
            <w:r>
              <w:rPr>
                <w:sz w:val="18"/>
              </w:rPr>
            </w:r>
            <w:r>
              <w:rPr>
                <w:sz w:val="18"/>
              </w:rPr>
              <w:t>0.1953</w:t>
            </w:r>
          </w:p>
        </w:tc>
      </w:tr>
    </w:tbl>
    <w:p>
      <w:pPr>
        <w:sectPr>
          <w:type w:val="continuous"/>
          <w:pgSz w:w="12240" w:h="15840" w:code="9"/>
          <w:pgMar w:top="1500" w:right="1080" w:bottom="1600" w:left="1080" w:header="1080" w:footer="1080" w:gutter="0"/>
          <w:cols w:num="2" w:space="480"/>
        </w:sectPr>
      </w:pPr>
    </w:p>
    <w:p>
      <w:pPr>
        <w:pStyle w:val="Para"/>
      </w:pPr>
      <w:r>
        <w:t>A concrete pair from the dev set shows why. In one Category I session the listener asks for "a catchy, dance-y track that was big in the 2000s, possibly from a non-English speaking country" with no title or artist to anchor retrieval; the system recommends "How Soon Is Now?" by The Smiths, then "Abra Cadaver" by The Hives -- both alternative/punk rock, both rejected ("it's not quite what I'm looking for... definitely had a Latin feel to it"). With no lexical anchor, retrieval falls back to the listener's broader taste profile (alternative rock) instead of the request's actual content (Latin pop, danceable). In a Category F session, by contrast, the listener names the artist directly ("Black Keys songs... from 'Thickfreakness' or 'Rubber Factory'"); the system returns "Thickfreakness" on the first turn, the listener confirms it is "absolutely what I had in mind," and the goal-progress label reads MOVES_TOWARD_GOAL for the rest of the session. The difference is not specificity in the abstract -- both requests are specific -- it is whether the request supplies a lexical anchor, an artist or title, that BM25 and the dialogue anchor can lock onto.</w:t>
      </w:r>
    </w:p>
    <w:p>
      <w:pPr>
        <w:pStyle w:val="Para"/>
      </w:pPr>
      <w:r>
        <w:t>This also complicates the multi-source pool-expansion story of Section 2: expansion helps ten of the eleven categories but actively hurts Category I (-0.0039 dev nDCG vs. the simpler two-source baseline), because sources calibrated to mainstream, taste-profile-driven sessions add noise exactly where there is no anchor to filter against. More sources is not uniformly better.</w:t>
      </w:r>
    </w:p>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pStyle w:val="Para"/>
      </w:pPr>
      <w:r>
        <w:rPr>
          <w:b/>
        </w:rPr>
        <w:t>Table 4: Measured latency and footprint. Top: per component, all neural blocks forced to CPU (worst case), median over 20 runs. Bottom: end-to-end recall + rescore over the 200-session set, encoders on the Metal backend.</w:t>
      </w:r>
    </w:p>
    <w:p>
      <w:pPr>
        <w:sectPr>
          <w:type w:val="continuous"/>
          <w:pgSz w:w="12240" w:h="15840" w:code="9"/>
          <w:pgMar w:top="1500" w:right="1080" w:bottom="1600" w:left="1080" w:header="1080" w:footer="1080" w:gutter="0"/>
          <w:cols w:num="1"/>
        </w:sectPr>
      </w:pP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5040"/>
        <w:gridCol w:w="5040"/>
      </w:tblGrid>
      <w:tr>
        <w:trPr>
          <w:tblHeader w:val="true"/>
        </w:trPr>
        <w:tc>
          <w:tcPr>
            <w:tcW w:type="dxa" w:w="5040"/>
            <w:shd w:val="clear" w:color="auto" w:fill="E7E7E7"/>
            <w:tcBorders>
              <w:top w:val="single" w:sz="12" w:space="0" w:color="000000"/>
              <w:bottom w:val="single" w:sz="4" w:space="0" w:color="000000"/>
            </w:tcBorders>
          </w:tcPr>
          <w:p>
            <w:pPr>
              <w:jc w:val="left"/>
            </w:pPr>
            <w:r/>
            <w:r>
              <w:rPr>
                <w:b/>
                <w:sz w:val="18"/>
              </w:rPr>
              <w:t>Operation</w:t>
            </w:r>
          </w:p>
        </w:tc>
        <w:tc>
          <w:tcPr>
            <w:tcW w:type="dxa" w:w="5040"/>
            <w:shd w:val="clear" w:color="auto" w:fill="E7E7E7"/>
            <w:tcBorders>
              <w:top w:val="single" w:sz="12" w:space="0" w:color="000000"/>
              <w:bottom w:val="single" w:sz="4" w:space="0" w:color="000000"/>
            </w:tcBorders>
          </w:tcPr>
          <w:p>
            <w:pPr>
              <w:jc w:val="left"/>
            </w:pPr>
            <w:r/>
            <w:r>
              <w:rPr>
                <w:b/>
                <w:sz w:val="18"/>
              </w:rPr>
              <w:t>Cost</w:t>
            </w:r>
          </w:p>
        </w:tc>
      </w:tr>
      <w:tr>
        <w:tc>
          <w:tcPr>
            <w:tcW w:type="dxa" w:w="5040"/>
          </w:tcPr>
          <w:p>
            <w:pPr>
              <w:jc w:val="left"/>
            </w:pPr>
            <w:r>
              <w:rPr>
                <w:sz w:val="18"/>
              </w:rPr>
            </w:r>
            <w:r>
              <w:rPr>
                <w:sz w:val="18"/>
              </w:rPr>
              <w:t>Two-tower query encode (e5-base)</w:t>
            </w:r>
          </w:p>
        </w:tc>
        <w:tc>
          <w:tcPr>
            <w:tcW w:type="dxa" w:w="5040"/>
          </w:tcPr>
          <w:p>
            <w:pPr>
              <w:jc w:val="left"/>
            </w:pPr>
            <w:r>
              <w:rPr>
                <w:sz w:val="18"/>
              </w:rPr>
            </w:r>
            <w:r>
              <w:rPr>
                <w:sz w:val="18"/>
              </w:rPr>
              <w:t>47 ms</w:t>
            </w:r>
          </w:p>
        </w:tc>
      </w:tr>
      <w:tr>
        <w:tc>
          <w:tcPr>
            <w:tcW w:type="dxa" w:w="5040"/>
          </w:tcPr>
          <w:p>
            <w:pPr>
              <w:jc w:val="left"/>
            </w:pPr>
            <w:r>
              <w:rPr>
                <w:sz w:val="18"/>
              </w:rPr>
            </w:r>
            <w:r>
              <w:rPr>
                <w:sz w:val="18"/>
              </w:rPr>
              <w:t>Exact ANN, 47,071 x 768, top-2000</w:t>
            </w:r>
          </w:p>
        </w:tc>
        <w:tc>
          <w:tcPr>
            <w:tcW w:type="dxa" w:w="5040"/>
          </w:tcPr>
          <w:p>
            <w:pPr>
              <w:jc w:val="left"/>
            </w:pPr>
            <w:r>
              <w:rPr>
                <w:sz w:val="18"/>
              </w:rPr>
            </w:r>
            <w:r>
              <w:rPr>
                <w:sz w:val="18"/>
              </w:rPr>
              <w:t>2.2 ms</w:t>
            </w:r>
          </w:p>
        </w:tc>
      </w:tr>
      <w:tr>
        <w:tc>
          <w:tcPr>
            <w:tcW w:type="dxa" w:w="5040"/>
          </w:tcPr>
          <w:p>
            <w:pPr>
              <w:jc w:val="left"/>
            </w:pPr>
            <w:r>
              <w:rPr>
                <w:sz w:val="18"/>
              </w:rPr>
            </w:r>
            <w:r>
              <w:rPr>
                <w:sz w:val="18"/>
              </w:rPr>
              <w:t>Qwen3-0.6B query encode</w:t>
            </w:r>
          </w:p>
        </w:tc>
        <w:tc>
          <w:tcPr>
            <w:tcW w:type="dxa" w:w="5040"/>
          </w:tcPr>
          <w:p>
            <w:pPr>
              <w:jc w:val="left"/>
            </w:pPr>
            <w:r>
              <w:rPr>
                <w:sz w:val="18"/>
              </w:rPr>
            </w:r>
            <w:r>
              <w:rPr>
                <w:sz w:val="18"/>
              </w:rPr>
              <w:t>601 ms</w:t>
            </w:r>
          </w:p>
        </w:tc>
      </w:tr>
      <w:tr>
        <w:tc>
          <w:tcPr>
            <w:tcW w:type="dxa" w:w="5040"/>
          </w:tcPr>
          <w:p>
            <w:pPr>
              <w:jc w:val="left"/>
            </w:pPr>
            <w:r>
              <w:rPr>
                <w:sz w:val="18"/>
              </w:rPr>
            </w:r>
            <w:r>
              <w:rPr>
                <w:sz w:val="18"/>
              </w:rPr>
              <w:t>BM25 retrieve, top-500</w:t>
            </w:r>
          </w:p>
        </w:tc>
        <w:tc>
          <w:tcPr>
            <w:tcW w:type="dxa" w:w="5040"/>
          </w:tcPr>
          <w:p>
            <w:pPr>
              <w:jc w:val="left"/>
            </w:pPr>
            <w:r>
              <w:rPr>
                <w:sz w:val="18"/>
              </w:rPr>
            </w:r>
            <w:r>
              <w:rPr>
                <w:sz w:val="18"/>
              </w:rPr>
              <w:t>0.5 ms</w:t>
            </w:r>
          </w:p>
        </w:tc>
      </w:tr>
      <w:tr>
        <w:tc>
          <w:tcPr>
            <w:tcW w:type="dxa" w:w="5040"/>
          </w:tcPr>
          <w:p>
            <w:pPr>
              <w:jc w:val="left"/>
            </w:pPr>
            <w:r>
              <w:rPr>
                <w:sz w:val="18"/>
              </w:rPr>
            </w:r>
            <w:r>
              <w:rPr>
                <w:sz w:val="18"/>
              </w:rPr>
              <w:t>Rescore: LambdaMART, 3,100 x 67 features</w:t>
            </w:r>
          </w:p>
        </w:tc>
        <w:tc>
          <w:tcPr>
            <w:tcW w:type="dxa" w:w="5040"/>
          </w:tcPr>
          <w:p>
            <w:pPr>
              <w:jc w:val="left"/>
            </w:pPr>
            <w:r>
              <w:rPr>
                <w:sz w:val="18"/>
              </w:rPr>
            </w:r>
            <w:r>
              <w:rPr>
                <w:sz w:val="18"/>
              </w:rPr>
              <w:t>3.4 ms</w:t>
            </w:r>
          </w:p>
        </w:tc>
      </w:tr>
      <w:tr>
        <w:tc>
          <w:tcPr>
            <w:tcW w:type="dxa" w:w="5040"/>
          </w:tcPr>
          <w:p>
            <w:pPr>
              <w:jc w:val="left"/>
            </w:pPr>
            <w:r>
              <w:rPr>
                <w:sz w:val="18"/>
              </w:rPr>
            </w:r>
            <w:r>
              <w:rPr>
                <w:sz w:val="18"/>
              </w:rPr>
              <w:t>Serving memory, all components loaded</w:t>
            </w:r>
          </w:p>
        </w:tc>
        <w:tc>
          <w:tcPr>
            <w:tcW w:type="dxa" w:w="5040"/>
          </w:tcPr>
          <w:p>
            <w:pPr>
              <w:jc w:val="left"/>
            </w:pPr>
            <w:r>
              <w:rPr>
                <w:sz w:val="18"/>
              </w:rPr>
            </w:r>
            <w:r>
              <w:rPr>
                <w:sz w:val="18"/>
              </w:rPr>
              <w:t>1.85 GB</w:t>
            </w:r>
          </w:p>
        </w:tc>
      </w:tr>
      <w:tr>
        <w:tc>
          <w:tcPr>
            <w:tcW w:type="dxa" w:w="5040"/>
          </w:tcPr>
          <w:p>
            <w:pPr>
              <w:jc w:val="left"/>
            </w:pPr>
            <w:r>
              <w:rPr>
                <w:sz w:val="18"/>
              </w:rPr>
            </w:r>
            <w:r>
              <w:rPr>
                <w:sz w:val="18"/>
              </w:rPr>
              <w:t>Trained artifact (LoRA adapter)</w:t>
            </w:r>
          </w:p>
        </w:tc>
        <w:tc>
          <w:tcPr>
            <w:tcW w:type="dxa" w:w="5040"/>
          </w:tcPr>
          <w:p>
            <w:pPr>
              <w:jc w:val="left"/>
            </w:pPr>
            <w:r>
              <w:rPr>
                <w:sz w:val="18"/>
              </w:rPr>
            </w:r>
            <w:r>
              <w:rPr>
                <w:sz w:val="18"/>
              </w:rPr>
              <w:t>24 MB</w:t>
            </w:r>
          </w:p>
        </w:tc>
      </w:tr>
      <w:tr>
        <w:tc>
          <w:tcPr>
            <w:tcW w:type="dxa" w:w="5040"/>
          </w:tcPr>
          <w:p>
            <w:pPr>
              <w:jc w:val="left"/>
            </w:pPr>
            <w:r>
              <w:rPr>
                <w:sz w:val="18"/>
              </w:rPr>
            </w:r>
            <w:r>
              <w:rPr>
                <w:sz w:val="18"/>
              </w:rPr>
              <w:t>Recall stage, per turn (nine sources)</w:t>
            </w:r>
          </w:p>
        </w:tc>
        <w:tc>
          <w:tcPr>
            <w:tcW w:type="dxa" w:w="5040"/>
          </w:tcPr>
          <w:p>
            <w:pPr>
              <w:jc w:val="left"/>
            </w:pPr>
            <w:r>
              <w:rPr>
                <w:sz w:val="18"/>
              </w:rPr>
            </w:r>
            <w:r>
              <w:rPr>
                <w:sz w:val="18"/>
              </w:rPr>
              <w:t>~0.26 s</w:t>
            </w:r>
          </w:p>
        </w:tc>
      </w:tr>
      <w:tr>
        <w:tc>
          <w:tcPr>
            <w:tcW w:type="dxa" w:w="5040"/>
          </w:tcPr>
          <w:p>
            <w:pPr>
              <w:jc w:val="left"/>
            </w:pPr>
            <w:r>
              <w:rPr>
                <w:sz w:val="18"/>
              </w:rPr>
            </w:r>
            <w:r>
              <w:rPr>
                <w:sz w:val="18"/>
              </w:rPr>
              <w:t>Rescore stage, per turn</w:t>
            </w:r>
          </w:p>
        </w:tc>
        <w:tc>
          <w:tcPr>
            <w:tcW w:type="dxa" w:w="5040"/>
          </w:tcPr>
          <w:p>
            <w:pPr>
              <w:jc w:val="left"/>
            </w:pPr>
            <w:r>
              <w:rPr>
                <w:sz w:val="18"/>
              </w:rPr>
            </w:r>
            <w:r>
              <w:rPr>
                <w:sz w:val="18"/>
              </w:rPr>
              <w:t>3.4 ms</w:t>
            </w:r>
          </w:p>
        </w:tc>
      </w:tr>
      <w:tr>
        <w:tc>
          <w:tcPr>
            <w:tcW w:type="dxa" w:w="5040"/>
            <w:tcBorders>
              <w:bottom w:val="single" w:sz="12" w:space="0" w:color="000000"/>
            </w:tcBorders>
          </w:tcPr>
          <w:p>
            <w:pPr>
              <w:jc w:val="left"/>
            </w:pPr>
            <w:r>
              <w:rPr>
                <w:sz w:val="18"/>
              </w:rPr>
            </w:r>
            <w:r>
              <w:rPr>
                <w:sz w:val="18"/>
              </w:rPr>
              <w:t>End-to-end, per session (per turn)</w:t>
            </w:r>
          </w:p>
        </w:tc>
        <w:tc>
          <w:tcPr>
            <w:tcW w:type="dxa" w:w="5040"/>
            <w:tcBorders>
              <w:bottom w:val="single" w:sz="12" w:space="0" w:color="000000"/>
            </w:tcBorders>
          </w:tcPr>
          <w:p>
            <w:pPr>
              <w:jc w:val="left"/>
            </w:pPr>
            <w:r>
              <w:rPr>
                <w:sz w:val="18"/>
              </w:rPr>
            </w:r>
            <w:r>
              <w:rPr>
                <w:sz w:val="18"/>
              </w:rPr>
              <w:t>2.17 s (0.27 s)</w:t>
            </w:r>
          </w:p>
        </w:tc>
      </w:tr>
    </w:tbl>
    <w:p>
      <w:pPr>
        <w:sectPr>
          <w:type w:val="continuous"/>
          <w:pgSz w:w="12240" w:h="15840" w:code="9"/>
          <w:pgMar w:top="1500" w:right="1080" w:bottom="1600" w:left="1080" w:header="1080" w:footer="1080" w:gutter="0"/>
          <w:cols w:num="2" w:space="480"/>
        </w:sectPr>
      </w:pPr>
    </w:p>
    <w:p>
      <w:pPr>
        <w:pStyle w:val="Head1"/>
      </w:pPr>
      <w:r>
        <w:t>7 Conclusion</w:t>
      </w:r>
    </w:p>
    <w:p>
      <w:pPr>
        <w:pStyle w:val="Para"/>
      </w:pPr>
      <w:r>
        <w:t>Treating goal-progress feedback as a delayed, sometimes-withheld preference-elicitation signal -- aligning it in time, removing rejected-track contamination, and reconstructing it from dialogue when absent -- feeds directly into recall, ranking, and the dialogue-aware retriever's anchor. Fusing many inexpensive retrievers, letting a gradient-boosted ranker arbitrate them, and adding a single LoRA-adapted dialogue encoder built around this signal together reach composite 0.49 on the blind set, entirely on one desktop with no discrete GPU.</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