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B365D"/>
          <w:sz w:val="52"/>
        </w:rPr>
        <w:t>NIRMAYA</w:t>
      </w:r>
    </w:p>
    <w:p>
      <w:pPr>
        <w:spacing w:after="480"/>
        <w:jc w:val="center"/>
      </w:pPr>
      <w:r>
        <w:rPr>
          <w:rFonts w:ascii="Arial" w:hAnsi="Arial"/>
          <w:color w:val="2563EB"/>
          <w:sz w:val="26"/>
        </w:rPr>
        <w:t>Networked Interoperable Records Medical Assets &amp; Your Archives</w:t>
      </w:r>
    </w:p>
    <w:p>
      <w:pPr>
        <w:spacing w:after="400"/>
        <w:jc w:val="center"/>
      </w:pPr>
      <w:r>
        <w:rPr>
          <w:rFonts w:ascii="Arial" w:hAnsi="Arial"/>
          <w:b/>
          <w:color w:val="1B365D"/>
          <w:sz w:val="28"/>
        </w:rPr>
        <w:t>INTERIM PROJECT REPORT (MONTH 1 REVIEW)</w:t>
        <w:br/>
      </w:r>
      <w:r>
        <w:rPr>
          <w:rFonts w:ascii="Arial" w:hAnsi="Arial"/>
          <w:b/>
          <w:color w:val="1E293B"/>
          <w:sz w:val="22"/>
        </w:rPr>
        <w:t>Final Year Major Project in Health Informatics &amp; Computer Engineering</w:t>
        <w:br/>
      </w:r>
      <w:r>
        <w:rPr>
          <w:rFonts w:ascii="Calibri" w:hAnsi="Calibri"/>
          <w:color w:val="64748B"/>
          <w:sz w:val="21"/>
        </w:rPr>
        <w:t>Milestone Release: v0.1.0 | Coverage: Weeks 1–4 (Days 1–20)</w:t>
        <w:br/>
        <w:t>Date of Submission: October 2026</w:t>
        <w:br/>
      </w:r>
    </w:p>
    <w:tbl>
      <w:tblPr>
        <w:tblW w:type="auto" w:w="0"/>
        <w:jc w:val="center"/>
        <w:tblLook w:firstColumn="1" w:firstRow="1" w:lastColumn="0" w:lastRow="0" w:noHBand="0" w:noVBand="1" w:val="04A0"/>
      </w:tblPr>
      <w:tblGrid>
        <w:gridCol w:w="4680"/>
        <w:gridCol w:w="4680"/>
      </w:tblGrid>
      <w:tr>
        <w:tc>
          <w:tcPr>
            <w:tcW w:type="dxa" w:w="4608"/>
            <w:shd w:val="clear" w:color="auto" w:fill="1B365D"/>
            <w:tcMar>
              <w:top w:w="120" w:type="dxa"/>
              <w:bottom w:w="120" w:type="dxa"/>
              <w:left w:w="140" w:type="dxa"/>
              <w:right w:w="140" w:type="dxa"/>
            </w:tcMar>
          </w:tcPr>
          <w:p>
            <w:pPr>
              <w:jc w:val="left"/>
            </w:pPr>
            <w:r>
              <w:rPr>
                <w:rFonts w:ascii="Arial" w:hAnsi="Arial"/>
                <w:b/>
                <w:color w:val="FFFFFF"/>
                <w:sz w:val="20"/>
              </w:rPr>
              <w:t>Project &amp; Student Credentials</w:t>
            </w:r>
          </w:p>
        </w:tc>
        <w:tc>
          <w:tcPr>
            <w:tcW w:type="dxa" w:w="4608"/>
            <w:shd w:val="clear" w:color="auto" w:fill="1B365D"/>
            <w:tcMar>
              <w:top w:w="120" w:type="dxa"/>
              <w:bottom w:w="120" w:type="dxa"/>
              <w:left w:w="140" w:type="dxa"/>
              <w:right w:w="140" w:type="dxa"/>
            </w:tcMar>
          </w:tcPr>
          <w:p>
            <w:pPr>
              <w:jc w:val="left"/>
            </w:pPr>
            <w:r>
              <w:rPr>
                <w:rFonts w:ascii="Arial" w:hAnsi="Arial"/>
                <w:b/>
                <w:color w:val="FFFFFF"/>
                <w:sz w:val="20"/>
              </w:rPr>
              <w:t>Institutional Evaluation Context</w:t>
            </w:r>
          </w:p>
        </w:tc>
      </w:tr>
      <w:tr>
        <w:tc>
          <w:tcPr>
            <w:tcW w:type="dxa" w:w="4608"/>
            <w:shd w:val="clear" w:color="auto" w:fill="FFFFFF"/>
            <w:tcMar>
              <w:top w:w="80" w:type="dxa"/>
              <w:bottom w:w="80" w:type="dxa"/>
              <w:left w:w="120" w:type="dxa"/>
              <w:right w:w="120" w:type="dxa"/>
            </w:tcMar>
          </w:tcPr>
          <w:p>
            <w:pPr>
              <w:jc w:val="left"/>
            </w:pPr>
            <w:r>
              <w:rPr>
                <w:rFonts w:ascii="Calibri" w:hAnsi="Calibri"/>
                <w:color w:val="1E293B"/>
                <w:sz w:val="19"/>
              </w:rPr>
              <w:t>Student Name: Suryansh Swarn</w:t>
            </w:r>
          </w:p>
        </w:tc>
        <w:tc>
          <w:tcPr>
            <w:tcW w:type="dxa" w:w="4608"/>
            <w:shd w:val="clear" w:color="auto" w:fill="FFFFFF"/>
            <w:tcMar>
              <w:top w:w="80" w:type="dxa"/>
              <w:bottom w:w="80" w:type="dxa"/>
              <w:left w:w="120" w:type="dxa"/>
              <w:right w:w="120" w:type="dxa"/>
            </w:tcMar>
          </w:tcPr>
          <w:p>
            <w:pPr>
              <w:jc w:val="left"/>
            </w:pPr>
            <w:r>
              <w:rPr>
                <w:rFonts w:ascii="Calibri" w:hAnsi="Calibri"/>
                <w:color w:val="1E293B"/>
                <w:sz w:val="19"/>
              </w:rPr>
              <w:t>Academic Department: Computer Science &amp; Engineering</w:t>
            </w:r>
          </w:p>
        </w:tc>
      </w:tr>
      <w:tr>
        <w:tc>
          <w:tcPr>
            <w:tcW w:type="dxa" w:w="4608"/>
            <w:shd w:val="clear" w:color="auto" w:fill="F8FAFC"/>
            <w:tcMar>
              <w:top w:w="80" w:type="dxa"/>
              <w:bottom w:w="80" w:type="dxa"/>
              <w:left w:w="120" w:type="dxa"/>
              <w:right w:w="120" w:type="dxa"/>
            </w:tcMar>
          </w:tcPr>
          <w:p>
            <w:pPr>
              <w:jc w:val="left"/>
            </w:pPr>
            <w:r>
              <w:rPr>
                <w:rFonts w:ascii="Calibri" w:hAnsi="Calibri"/>
                <w:color w:val="1E293B"/>
                <w:sz w:val="19"/>
              </w:rPr>
              <w:t>Project Title: NIRMAYA Platform</w:t>
            </w:r>
          </w:p>
        </w:tc>
        <w:tc>
          <w:tcPr>
            <w:tcW w:type="dxa" w:w="4608"/>
            <w:shd w:val="clear" w:color="auto" w:fill="F8FAFC"/>
            <w:tcMar>
              <w:top w:w="80" w:type="dxa"/>
              <w:bottom w:w="80" w:type="dxa"/>
              <w:left w:w="120" w:type="dxa"/>
              <w:right w:w="120" w:type="dxa"/>
            </w:tcMar>
          </w:tcPr>
          <w:p>
            <w:pPr>
              <w:jc w:val="left"/>
            </w:pPr>
            <w:r>
              <w:rPr>
                <w:rFonts w:ascii="Calibri" w:hAnsi="Calibri"/>
                <w:color w:val="1E293B"/>
                <w:sz w:val="19"/>
              </w:rPr>
              <w:t>Evaluation Tier: Final Year Major Project Review 1</w:t>
            </w:r>
          </w:p>
        </w:tc>
      </w:tr>
      <w:tr>
        <w:tc>
          <w:tcPr>
            <w:tcW w:type="dxa" w:w="4608"/>
            <w:shd w:val="clear" w:color="auto" w:fill="FFFFFF"/>
            <w:tcMar>
              <w:top w:w="80" w:type="dxa"/>
              <w:bottom w:w="80" w:type="dxa"/>
              <w:left w:w="120" w:type="dxa"/>
              <w:right w:w="120" w:type="dxa"/>
            </w:tcMar>
          </w:tcPr>
          <w:p>
            <w:pPr>
              <w:jc w:val="left"/>
            </w:pPr>
            <w:r>
              <w:rPr>
                <w:rFonts w:ascii="Calibri" w:hAnsi="Calibri"/>
                <w:color w:val="1E293B"/>
                <w:sz w:val="19"/>
              </w:rPr>
              <w:t>Repository: github.com/SuryanshSwarn09/NIRMAYA</w:t>
            </w:r>
          </w:p>
        </w:tc>
        <w:tc>
          <w:tcPr>
            <w:tcW w:type="dxa" w:w="4608"/>
            <w:shd w:val="clear" w:color="auto" w:fill="FFFFFF"/>
            <w:tcMar>
              <w:top w:w="80" w:type="dxa"/>
              <w:bottom w:w="80" w:type="dxa"/>
              <w:left w:w="120" w:type="dxa"/>
              <w:right w:w="120" w:type="dxa"/>
            </w:tcMar>
          </w:tcPr>
          <w:p>
            <w:pPr>
              <w:jc w:val="left"/>
            </w:pPr>
            <w:r>
              <w:rPr>
                <w:rFonts w:ascii="Calibri" w:hAnsi="Calibri"/>
                <w:color w:val="1E293B"/>
                <w:sz w:val="19"/>
              </w:rPr>
              <w:t>Review Scope: Foundation, Schemas, Security &amp; Scheduling</w:t>
            </w:r>
          </w:p>
        </w:tc>
      </w:tr>
      <w:tr>
        <w:tc>
          <w:tcPr>
            <w:tcW w:type="dxa" w:w="4608"/>
            <w:shd w:val="clear" w:color="auto" w:fill="F8FAFC"/>
            <w:tcMar>
              <w:top w:w="80" w:type="dxa"/>
              <w:bottom w:w="80" w:type="dxa"/>
              <w:left w:w="120" w:type="dxa"/>
              <w:right w:w="120" w:type="dxa"/>
            </w:tcMar>
          </w:tcPr>
          <w:p>
            <w:pPr>
              <w:jc w:val="left"/>
            </w:pPr>
            <w:r>
              <w:rPr>
                <w:rFonts w:ascii="Calibri" w:hAnsi="Calibri"/>
                <w:color w:val="1E293B"/>
                <w:sz w:val="19"/>
              </w:rPr>
              <w:t>Specification: HL7 FHIR R4 &amp; ABDM M1</w:t>
            </w:r>
          </w:p>
        </w:tc>
        <w:tc>
          <w:tcPr>
            <w:tcW w:type="dxa" w:w="4608"/>
            <w:shd w:val="clear" w:color="auto" w:fill="F8FAFC"/>
            <w:tcMar>
              <w:top w:w="80" w:type="dxa"/>
              <w:bottom w:w="80" w:type="dxa"/>
              <w:left w:w="120" w:type="dxa"/>
              <w:right w:w="120" w:type="dxa"/>
            </w:tcMar>
          </w:tcPr>
          <w:p>
            <w:pPr>
              <w:jc w:val="left"/>
            </w:pPr>
            <w:r>
              <w:rPr>
                <w:rFonts w:ascii="Calibri" w:hAnsi="Calibri"/>
                <w:color w:val="1E293B"/>
                <w:sz w:val="19"/>
              </w:rPr>
              <w:t>Live Verification: 151 / 151 Automated Tests Passed (100%)</w:t>
            </w:r>
          </w:p>
        </w:tc>
      </w:tr>
    </w:tbl>
    <w:p>
      <w:pPr>
        <w:spacing w:after="120"/>
      </w:pPr>
    </w:p>
    <w:p>
      <w:r>
        <w:br w:type="page"/>
      </w:r>
    </w:p>
    <w:p>
      <w:pPr>
        <w:keepNext/>
        <w:spacing w:before="360" w:after="120"/>
      </w:pPr>
      <w:r>
        <w:rPr>
          <w:rFonts w:ascii="Arial" w:hAnsi="Arial"/>
          <w:b/>
          <w:color w:val="1B365D"/>
          <w:sz w:val="32"/>
        </w:rPr>
        <w:t>1. Executive Summary</w:t>
      </w:r>
    </w:p>
    <w:p>
      <w:pPr>
        <w:spacing w:after="120" w:line="276" w:lineRule="auto"/>
      </w:pPr>
      <w:r>
        <w:rPr>
          <w:rFonts w:ascii="Calibri" w:hAnsi="Calibri"/>
          <w:color w:val="1E293B"/>
          <w:sz w:val="22"/>
        </w:rPr>
        <w:t>NIRMAYA (Networked Interoperable Records Medical Assets &amp; Your Archives) is an enterprise-grade, federated digital health interoperability platform designed to resolve India's severe healthcare data fragmentation. Traditional healthcare delivery operates in proprietary, isolated database silos where prescriptions are lost on paper, diagnostic tests remain locked in unstructured PDFs, and treating clinicians lack longitudinal visibility into patient medical history.</w:t>
      </w:r>
    </w:p>
    <w:p>
      <w:pPr>
        <w:spacing w:after="120" w:line="276" w:lineRule="auto"/>
      </w:pPr>
      <w:r>
        <w:rPr>
          <w:rFonts w:ascii="Calibri" w:hAnsi="Calibri"/>
          <w:color w:val="1E293B"/>
          <w:sz w:val="22"/>
        </w:rPr>
        <w:t>NIRMAYA is architected around international healthcare data protocols (HL7 FHIR Release 4) and India's national health ecosystem (Ayushman Bharat Digital Mission - ABDM). Over the course of Month 1 (a rigorous 4-week, 20-working-day development sprint), the project established a complete, production-grade clinical foundation: an asynchronous FastAPI backend, normalized PostgreSQL 16 database schema managed via Alembic migrations, Supabase Cloud authentication with 4-tier Role-Based Access Control (RBAC), an interactive patient-doctor appointment engine with ACID row-level locking to prevent double bookings, and a clean modern clinical interface built with Next.js 15 and Tailwind CSS v4.</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40"/>
            </w:pPr>
            <w:r>
              <w:rPr>
                <w:rFonts w:ascii="Arial" w:hAnsi="Arial"/>
                <w:b/>
                <w:color w:val="2563EB"/>
                <w:sz w:val="21"/>
              </w:rPr>
              <w:t>Month 1 Milestone Validation</w:t>
              <w:br/>
            </w:r>
            <w:r>
              <w:rPr>
                <w:rFonts w:ascii="Calibri" w:hAnsi="Calibri"/>
                <w:i/>
                <w:color w:val="1E293B"/>
                <w:sz w:val="21"/>
              </w:rPr>
              <w:t>Key Milestone Achievement (Release v0.1.0): 20 consecutive development days completed with over 210 atomic micro-commits, 3 successful database schema revisions, 11 fully rendered Next.js application routes, and 151 automated tests achieving a 100% pass rate in 17.67s.</w:t>
            </w:r>
          </w:p>
        </w:tc>
      </w:tr>
    </w:tbl>
    <w:p>
      <w:pPr>
        <w:spacing w:after="80"/>
      </w:pPr>
    </w:p>
    <w:p>
      <w:pPr>
        <w:keepNext/>
        <w:spacing w:before="360" w:after="120"/>
      </w:pPr>
      <w:r>
        <w:rPr>
          <w:rFonts w:ascii="Arial" w:hAnsi="Arial"/>
          <w:b/>
          <w:color w:val="1B365D"/>
          <w:sz w:val="32"/>
        </w:rPr>
        <w:t>2. Problem Statement &amp; System Objectives</w:t>
      </w:r>
    </w:p>
    <w:p>
      <w:pPr>
        <w:keepNext/>
        <w:spacing w:before="280" w:after="80"/>
      </w:pPr>
      <w:r>
        <w:rPr>
          <w:rFonts w:ascii="Arial" w:hAnsi="Arial"/>
          <w:b/>
          <w:color w:val="2563EB"/>
          <w:sz w:val="26"/>
        </w:rPr>
        <w:t>2.1 The Clinical Data Fragmentation Dilemma</w:t>
      </w:r>
    </w:p>
    <w:p>
      <w:pPr>
        <w:spacing w:after="120" w:line="276" w:lineRule="auto"/>
      </w:pPr>
      <w:r>
        <w:rPr>
          <w:rFonts w:ascii="Calibri" w:hAnsi="Calibri"/>
          <w:color w:val="1E293B"/>
          <w:sz w:val="22"/>
        </w:rPr>
        <w:t>In typical Indian healthcare encounters, patient records are decentralized across disparate private clinics, commercial laboratories, and tertiary care hospitals. This leads to three fundamental systemic failures:</w:t>
      </w:r>
    </w:p>
    <w:p>
      <w:pPr>
        <w:pStyle w:val="ListBullet"/>
        <w:spacing w:after="60" w:line="276" w:lineRule="auto"/>
      </w:pPr>
      <w:r>
        <w:rPr>
          <w:rFonts w:ascii="Calibri" w:hAnsi="Calibri"/>
          <w:b/>
          <w:color w:val="1E293B"/>
          <w:sz w:val="22"/>
        </w:rPr>
        <w:t xml:space="preserve">1. Lost Longitudinal History: </w:t>
      </w:r>
      <w:r>
        <w:rPr>
          <w:rFonts w:ascii="Calibri" w:hAnsi="Calibri"/>
          <w:color w:val="1E293B"/>
          <w:sz w:val="22"/>
        </w:rPr>
        <w:t>Paper-based prescriptions degrade rapidly or are misplaced, preventing reliable drug interaction checking.</w:t>
      </w:r>
    </w:p>
    <w:p>
      <w:pPr>
        <w:pStyle w:val="ListBullet"/>
        <w:spacing w:after="60" w:line="276" w:lineRule="auto"/>
      </w:pPr>
      <w:r>
        <w:rPr>
          <w:rFonts w:ascii="Calibri" w:hAnsi="Calibri"/>
          <w:b/>
          <w:color w:val="1E293B"/>
          <w:sz w:val="22"/>
        </w:rPr>
        <w:t xml:space="preserve">2. Unstructured Diagnostic Silos: </w:t>
      </w:r>
      <w:r>
        <w:rPr>
          <w:rFonts w:ascii="Calibri" w:hAnsi="Calibri"/>
          <w:color w:val="1E293B"/>
          <w:sz w:val="22"/>
        </w:rPr>
        <w:t>Laboratory findings are delivered as unstructured paper or raster PDF attachments that cannot be queried or graphed over time.</w:t>
      </w:r>
    </w:p>
    <w:p>
      <w:pPr>
        <w:pStyle w:val="ListBullet"/>
        <w:spacing w:after="60" w:line="276" w:lineRule="auto"/>
      </w:pPr>
      <w:r>
        <w:rPr>
          <w:rFonts w:ascii="Calibri" w:hAnsi="Calibri"/>
          <w:b/>
          <w:color w:val="1E293B"/>
          <w:sz w:val="22"/>
        </w:rPr>
        <w:t xml:space="preserve">3. Zero Clinical Continuity: </w:t>
      </w:r>
      <w:r>
        <w:rPr>
          <w:rFonts w:ascii="Calibri" w:hAnsi="Calibri"/>
          <w:color w:val="1E293B"/>
          <w:sz w:val="22"/>
        </w:rPr>
        <w:t>Clinicians must treat acute cases with zero verified knowledge of underlying chronic conditions or allergic reactions.</w:t>
      </w:r>
    </w:p>
    <w:p>
      <w:pPr>
        <w:keepNext/>
        <w:spacing w:before="280" w:after="80"/>
      </w:pPr>
      <w:r>
        <w:rPr>
          <w:rFonts w:ascii="Arial" w:hAnsi="Arial"/>
          <w:b/>
          <w:color w:val="2563EB"/>
          <w:sz w:val="26"/>
        </w:rPr>
        <w:t>2.2 Month 1 Engineering Objectives</w:t>
      </w:r>
    </w:p>
    <w:p>
      <w:pPr>
        <w:pStyle w:val="ListBullet"/>
        <w:spacing w:after="60" w:line="276" w:lineRule="auto"/>
      </w:pPr>
      <w:r>
        <w:rPr>
          <w:rFonts w:ascii="Calibri" w:hAnsi="Calibri"/>
          <w:b/>
          <w:color w:val="1E293B"/>
          <w:sz w:val="22"/>
        </w:rPr>
        <w:t xml:space="preserve">Objective 1 (Foundation): </w:t>
      </w:r>
      <w:r>
        <w:rPr>
          <w:rFonts w:ascii="Calibri" w:hAnsi="Calibri"/>
          <w:color w:val="1E293B"/>
          <w:sz w:val="22"/>
        </w:rPr>
        <w:t>Establish a high-performance Monorepo architecture cleanly separating presentation (Next.js 15) and API layers (FastAPI).</w:t>
      </w:r>
    </w:p>
    <w:p>
      <w:pPr>
        <w:pStyle w:val="ListBullet"/>
        <w:spacing w:after="60" w:line="276" w:lineRule="auto"/>
      </w:pPr>
      <w:r>
        <w:rPr>
          <w:rFonts w:ascii="Calibri" w:hAnsi="Calibri"/>
          <w:b/>
          <w:color w:val="1E293B"/>
          <w:sz w:val="22"/>
        </w:rPr>
        <w:t xml:space="preserve">Objective 2 (Data Persistence): </w:t>
      </w:r>
      <w:r>
        <w:rPr>
          <w:rFonts w:ascii="Calibri" w:hAnsi="Calibri"/>
          <w:color w:val="1E293B"/>
          <w:sz w:val="22"/>
        </w:rPr>
        <w:t>Engineer normalized relational models for Users, Patients, Doctors, and Diagnostic Facilities with 14-digit ABHA validation.</w:t>
      </w:r>
    </w:p>
    <w:p>
      <w:pPr>
        <w:pStyle w:val="ListBullet"/>
        <w:spacing w:after="60" w:line="276" w:lineRule="auto"/>
      </w:pPr>
      <w:r>
        <w:rPr>
          <w:rFonts w:ascii="Calibri" w:hAnsi="Calibri"/>
          <w:b/>
          <w:color w:val="1E293B"/>
          <w:sz w:val="22"/>
        </w:rPr>
        <w:t xml:space="preserve">Objective 3 (Identity &amp; Security): </w:t>
      </w:r>
      <w:r>
        <w:rPr>
          <w:rFonts w:ascii="Calibri" w:hAnsi="Calibri"/>
          <w:color w:val="1E293B"/>
          <w:sz w:val="22"/>
        </w:rPr>
        <w:t>Implement cryptographic JWT validation, session cookie handling, and declarative RBAC guards across 4 clinical roles.</w:t>
      </w:r>
    </w:p>
    <w:p>
      <w:pPr>
        <w:pStyle w:val="ListBullet"/>
        <w:spacing w:after="60" w:line="276" w:lineRule="auto"/>
      </w:pPr>
      <w:r>
        <w:rPr>
          <w:rFonts w:ascii="Calibri" w:hAnsi="Calibri"/>
          <w:b/>
          <w:color w:val="1E293B"/>
          <w:sz w:val="22"/>
        </w:rPr>
        <w:t xml:space="preserve">Objective 4 (Clinical Scheduling): </w:t>
      </w:r>
      <w:r>
        <w:rPr>
          <w:rFonts w:ascii="Calibri" w:hAnsi="Calibri"/>
          <w:color w:val="1E293B"/>
          <w:sz w:val="22"/>
        </w:rPr>
        <w:t>Build a conflict-free appointment scheduling engine with ACID row-level locking (SELECT FOR UPDATE) and 10-minute temporary holds.</w:t>
      </w:r>
    </w:p>
    <w:p>
      <w:pPr>
        <w:pStyle w:val="ListBullet"/>
        <w:spacing w:after="60" w:line="276" w:lineRule="auto"/>
      </w:pPr>
      <w:r>
        <w:rPr>
          <w:rFonts w:ascii="Calibri" w:hAnsi="Calibri"/>
          <w:b/>
          <w:color w:val="1E293B"/>
          <w:sz w:val="22"/>
        </w:rPr>
        <w:t xml:space="preserve">Objective 5 (Interoperability): </w:t>
      </w:r>
      <w:r>
        <w:rPr>
          <w:rFonts w:ascii="Calibri" w:hAnsi="Calibri"/>
          <w:color w:val="1E293B"/>
          <w:sz w:val="22"/>
        </w:rPr>
        <w:t>Develop bidirectional HL7 FHIR Release 4 transformers emitting valid Encounter and Appointment JSON resources.</w:t>
      </w:r>
    </w:p>
    <w:p>
      <w:pPr>
        <w:pStyle w:val="ListBullet"/>
        <w:spacing w:after="60" w:line="276" w:lineRule="auto"/>
      </w:pPr>
      <w:r>
        <w:rPr>
          <w:rFonts w:ascii="Calibri" w:hAnsi="Calibri"/>
          <w:b/>
          <w:color w:val="1E293B"/>
          <w:sz w:val="22"/>
        </w:rPr>
        <w:t xml:space="preserve">Objective 6 (Software Discipline): </w:t>
      </w:r>
      <w:r>
        <w:rPr>
          <w:rFonts w:ascii="Calibri" w:hAnsi="Calibri"/>
          <w:color w:val="1E293B"/>
          <w:sz w:val="22"/>
        </w:rPr>
        <w:t>Enforce extreme quality assurance through a minimum of 10 atomic micro-commits daily and 100% automated test coverage.</w:t>
      </w:r>
    </w:p>
    <w:p>
      <w:pPr>
        <w:keepNext/>
        <w:spacing w:before="360" w:after="120"/>
      </w:pPr>
      <w:r>
        <w:rPr>
          <w:rFonts w:ascii="Arial" w:hAnsi="Arial"/>
          <w:b/>
          <w:color w:val="1B365D"/>
          <w:sz w:val="32"/>
        </w:rPr>
        <w:t>3. System Architecture &amp; 3-Pillar Topology</w:t>
      </w:r>
    </w:p>
    <w:p>
      <w:pPr>
        <w:spacing w:after="120" w:line="276" w:lineRule="auto"/>
      </w:pPr>
      <w:r>
        <w:rPr>
          <w:rFonts w:ascii="Calibri" w:hAnsi="Calibri"/>
          <w:color w:val="1E293B"/>
          <w:sz w:val="22"/>
        </w:rPr>
        <w:t>NIRMAYA is organized into three distinct stakeholder portals, unified through a high-throughput asynchronous API gateway and standards-compliant data transformation pipelines:</w:t>
      </w:r>
    </w:p>
    <w:p>
      <w:pPr>
        <w:pStyle w:val="ListBullet"/>
        <w:spacing w:after="60" w:line="276" w:lineRule="auto"/>
      </w:pPr>
      <w:r>
        <w:rPr>
          <w:rFonts w:ascii="Calibri" w:hAnsi="Calibri"/>
          <w:b/>
          <w:color w:val="1E293B"/>
          <w:sz w:val="22"/>
        </w:rPr>
        <w:t xml:space="preserve">Pillar 1: Patient Health Vault (/patient) - </w:t>
      </w:r>
      <w:r>
        <w:rPr>
          <w:rFonts w:ascii="Calibri" w:hAnsi="Calibri"/>
          <w:color w:val="1E293B"/>
          <w:sz w:val="22"/>
        </w:rPr>
        <w:t>A self-sovereign health locker where patients own their complete longitudinal medical history, control time-bound doctor access permissions, and link their simulated 14-digit ABHA identity.</w:t>
      </w:r>
    </w:p>
    <w:p>
      <w:pPr>
        <w:pStyle w:val="ListBullet"/>
        <w:spacing w:after="60" w:line="276" w:lineRule="auto"/>
      </w:pPr>
      <w:r>
        <w:rPr>
          <w:rFonts w:ascii="Calibri" w:hAnsi="Calibri"/>
          <w:b/>
          <w:color w:val="1E293B"/>
          <w:sz w:val="22"/>
        </w:rPr>
        <w:t xml:space="preserve">Pillar 2: Provider Doctor EMR (/doctor) - </w:t>
      </w:r>
      <w:r>
        <w:rPr>
          <w:rFonts w:ascii="Calibri" w:hAnsi="Calibri"/>
          <w:color w:val="1E293B"/>
          <w:sz w:val="22"/>
        </w:rPr>
        <w:t>A specialized consultation console enabling licensed doctors to review verified patient timelines, conduct appointments, and issue structured encounter documentation.</w:t>
      </w:r>
    </w:p>
    <w:p>
      <w:pPr>
        <w:pStyle w:val="ListBullet"/>
        <w:spacing w:after="60" w:line="276" w:lineRule="auto"/>
      </w:pPr>
      <w:r>
        <w:rPr>
          <w:rFonts w:ascii="Calibri" w:hAnsi="Calibri"/>
          <w:b/>
          <w:color w:val="1E293B"/>
          <w:sz w:val="22"/>
        </w:rPr>
        <w:t xml:space="preserve">Pillar 3: Diagnostic Lab Gateway (/lab) - </w:t>
      </w:r>
      <w:r>
        <w:rPr>
          <w:rFonts w:ascii="Calibri" w:hAnsi="Calibri"/>
          <w:color w:val="1E293B"/>
          <w:sz w:val="22"/>
        </w:rPr>
        <w:t>A secure ingestion interface for accredited diagnostic laboratories to upload quantitative parameters and stamped reports.</w:t>
      </w:r>
    </w:p>
    <w:p>
      <w:pPr>
        <w:keepNext/>
        <w:spacing w:before="280" w:after="80"/>
      </w:pPr>
      <w:r>
        <w:rPr>
          <w:rFonts w:ascii="Arial" w:hAnsi="Arial"/>
          <w:b/>
          <w:color w:val="2563EB"/>
          <w:sz w:val="26"/>
        </w:rPr>
        <w:t>3.1 Technology Stack &amp; Architectural Rationale</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1B365D"/>
            <w:tcMar>
              <w:top w:w="120" w:type="dxa"/>
              <w:bottom w:w="120" w:type="dxa"/>
              <w:left w:w="140" w:type="dxa"/>
              <w:right w:w="140" w:type="dxa"/>
            </w:tcMar>
          </w:tcPr>
          <w:p>
            <w:pPr>
              <w:jc w:val="left"/>
            </w:pPr>
            <w:r>
              <w:rPr>
                <w:rFonts w:ascii="Arial" w:hAnsi="Arial"/>
                <w:b/>
                <w:color w:val="FFFFFF"/>
                <w:sz w:val="20"/>
              </w:rPr>
              <w:t>Architecture Layer</w:t>
            </w:r>
          </w:p>
        </w:tc>
        <w:tc>
          <w:tcPr>
            <w:tcW w:type="dxa" w:w="3168"/>
            <w:shd w:val="clear" w:color="auto" w:fill="1B365D"/>
            <w:tcMar>
              <w:top w:w="120" w:type="dxa"/>
              <w:bottom w:w="120" w:type="dxa"/>
              <w:left w:w="140" w:type="dxa"/>
              <w:right w:w="140" w:type="dxa"/>
            </w:tcMar>
          </w:tcPr>
          <w:p>
            <w:pPr>
              <w:jc w:val="left"/>
            </w:pPr>
            <w:r>
              <w:rPr>
                <w:rFonts w:ascii="Arial" w:hAnsi="Arial"/>
                <w:b/>
                <w:color w:val="FFFFFF"/>
                <w:sz w:val="20"/>
              </w:rPr>
              <w:t>Technology Selection</w:t>
            </w:r>
          </w:p>
        </w:tc>
        <w:tc>
          <w:tcPr>
            <w:tcW w:type="dxa" w:w="3744"/>
            <w:shd w:val="clear" w:color="auto" w:fill="1B365D"/>
            <w:tcMar>
              <w:top w:w="120" w:type="dxa"/>
              <w:bottom w:w="120" w:type="dxa"/>
              <w:left w:w="140" w:type="dxa"/>
              <w:right w:w="140" w:type="dxa"/>
            </w:tcMar>
          </w:tcPr>
          <w:p>
            <w:pPr>
              <w:jc w:val="left"/>
            </w:pPr>
            <w:r>
              <w:rPr>
                <w:rFonts w:ascii="Arial" w:hAnsi="Arial"/>
                <w:b/>
                <w:color w:val="FFFFFF"/>
                <w:sz w:val="20"/>
              </w:rPr>
              <w:t>Role &amp; Engineering Rationale</w:t>
            </w:r>
          </w:p>
        </w:tc>
      </w:tr>
      <w:tr>
        <w:tc>
          <w:tcPr>
            <w:tcW w:type="dxa" w:w="2304"/>
            <w:shd w:val="clear" w:color="auto" w:fill="FFFFFF"/>
            <w:tcMar>
              <w:top w:w="80" w:type="dxa"/>
              <w:bottom w:w="80" w:type="dxa"/>
              <w:left w:w="120" w:type="dxa"/>
              <w:right w:w="120" w:type="dxa"/>
            </w:tcMar>
          </w:tcPr>
          <w:p>
            <w:pPr>
              <w:jc w:val="left"/>
            </w:pPr>
            <w:r>
              <w:rPr>
                <w:rFonts w:ascii="Calibri" w:hAnsi="Calibri"/>
                <w:color w:val="1E293B"/>
                <w:sz w:val="19"/>
              </w:rPr>
              <w:t>Frontend Client</w:t>
            </w:r>
          </w:p>
        </w:tc>
        <w:tc>
          <w:tcPr>
            <w:tcW w:type="dxa" w:w="3168"/>
            <w:shd w:val="clear" w:color="auto" w:fill="FFFFFF"/>
            <w:tcMar>
              <w:top w:w="80" w:type="dxa"/>
              <w:bottom w:w="80" w:type="dxa"/>
              <w:left w:w="120" w:type="dxa"/>
              <w:right w:w="120" w:type="dxa"/>
            </w:tcMar>
          </w:tcPr>
          <w:p>
            <w:pPr>
              <w:jc w:val="left"/>
            </w:pPr>
            <w:r>
              <w:rPr>
                <w:rFonts w:ascii="Calibri" w:hAnsi="Calibri"/>
                <w:color w:val="1E293B"/>
                <w:sz w:val="19"/>
              </w:rPr>
              <w:t>Next.js 15 (App Router), React 19, TypeScript, Tailwind CSS v4</w:t>
            </w:r>
          </w:p>
        </w:tc>
        <w:tc>
          <w:tcPr>
            <w:tcW w:type="dxa" w:w="3744"/>
            <w:shd w:val="clear" w:color="auto" w:fill="FFFFFF"/>
            <w:tcMar>
              <w:top w:w="80" w:type="dxa"/>
              <w:bottom w:w="80" w:type="dxa"/>
              <w:left w:w="120" w:type="dxa"/>
              <w:right w:w="120" w:type="dxa"/>
            </w:tcMar>
          </w:tcPr>
          <w:p>
            <w:pPr>
              <w:jc w:val="left"/>
            </w:pPr>
            <w:r>
              <w:rPr>
                <w:rFonts w:ascii="Calibri" w:hAnsi="Calibri"/>
                <w:color w:val="1E293B"/>
                <w:sz w:val="19"/>
              </w:rPr>
              <w:t>High-efficiency server-side rendering, sub-millisecond client transitions, and strict type safety.</w:t>
            </w:r>
          </w:p>
        </w:tc>
      </w:tr>
      <w:tr>
        <w:tc>
          <w:tcPr>
            <w:tcW w:type="dxa" w:w="2304"/>
            <w:shd w:val="clear" w:color="auto" w:fill="F8FAFC"/>
            <w:tcMar>
              <w:top w:w="80" w:type="dxa"/>
              <w:bottom w:w="80" w:type="dxa"/>
              <w:left w:w="120" w:type="dxa"/>
              <w:right w:w="120" w:type="dxa"/>
            </w:tcMar>
          </w:tcPr>
          <w:p>
            <w:pPr>
              <w:jc w:val="left"/>
            </w:pPr>
            <w:r>
              <w:rPr>
                <w:rFonts w:ascii="Calibri" w:hAnsi="Calibri"/>
                <w:color w:val="1E293B"/>
                <w:sz w:val="19"/>
              </w:rPr>
              <w:t>Backend Core</w:t>
            </w:r>
          </w:p>
        </w:tc>
        <w:tc>
          <w:tcPr>
            <w:tcW w:type="dxa" w:w="3168"/>
            <w:shd w:val="clear" w:color="auto" w:fill="F8FAFC"/>
            <w:tcMar>
              <w:top w:w="80" w:type="dxa"/>
              <w:bottom w:w="80" w:type="dxa"/>
              <w:left w:w="120" w:type="dxa"/>
              <w:right w:w="120" w:type="dxa"/>
            </w:tcMar>
          </w:tcPr>
          <w:p>
            <w:pPr>
              <w:jc w:val="left"/>
            </w:pPr>
            <w:r>
              <w:rPr>
                <w:rFonts w:ascii="Calibri" w:hAnsi="Calibri"/>
                <w:color w:val="1E293B"/>
                <w:sz w:val="19"/>
              </w:rPr>
              <w:t>FastAPI (Python 3.11/3.12), Pydantic v2, Uvicorn ASGI</w:t>
            </w:r>
          </w:p>
        </w:tc>
        <w:tc>
          <w:tcPr>
            <w:tcW w:type="dxa" w:w="3744"/>
            <w:shd w:val="clear" w:color="auto" w:fill="F8FAFC"/>
            <w:tcMar>
              <w:top w:w="80" w:type="dxa"/>
              <w:bottom w:w="80" w:type="dxa"/>
              <w:left w:w="120" w:type="dxa"/>
              <w:right w:w="120" w:type="dxa"/>
            </w:tcMar>
          </w:tcPr>
          <w:p>
            <w:pPr>
              <w:jc w:val="left"/>
            </w:pPr>
            <w:r>
              <w:rPr>
                <w:rFonts w:ascii="Calibri" w:hAnsi="Calibri"/>
                <w:color w:val="1E293B"/>
                <w:sz w:val="19"/>
              </w:rPr>
              <w:t>Asynchronous non-blocking I/O, strict schema validation, automatic OpenAPI Swagger documentation.</w:t>
            </w:r>
          </w:p>
        </w:tc>
      </w:tr>
      <w:tr>
        <w:tc>
          <w:tcPr>
            <w:tcW w:type="dxa" w:w="2304"/>
            <w:shd w:val="clear" w:color="auto" w:fill="FFFFFF"/>
            <w:tcMar>
              <w:top w:w="80" w:type="dxa"/>
              <w:bottom w:w="80" w:type="dxa"/>
              <w:left w:w="120" w:type="dxa"/>
              <w:right w:w="120" w:type="dxa"/>
            </w:tcMar>
          </w:tcPr>
          <w:p>
            <w:pPr>
              <w:jc w:val="left"/>
            </w:pPr>
            <w:r>
              <w:rPr>
                <w:rFonts w:ascii="Calibri" w:hAnsi="Calibri"/>
                <w:color w:val="1E293B"/>
                <w:sz w:val="19"/>
              </w:rPr>
              <w:t>Data Persistence</w:t>
            </w:r>
          </w:p>
        </w:tc>
        <w:tc>
          <w:tcPr>
            <w:tcW w:type="dxa" w:w="3168"/>
            <w:shd w:val="clear" w:color="auto" w:fill="FFFFFF"/>
            <w:tcMar>
              <w:top w:w="80" w:type="dxa"/>
              <w:bottom w:w="80" w:type="dxa"/>
              <w:left w:w="120" w:type="dxa"/>
              <w:right w:w="120" w:type="dxa"/>
            </w:tcMar>
          </w:tcPr>
          <w:p>
            <w:pPr>
              <w:jc w:val="left"/>
            </w:pPr>
            <w:r>
              <w:rPr>
                <w:rFonts w:ascii="Calibri" w:hAnsi="Calibri"/>
                <w:color w:val="1E293B"/>
                <w:sz w:val="19"/>
              </w:rPr>
              <w:t>PostgreSQL 16, Async SQLAlchemy 2.0, Alembic</w:t>
            </w:r>
          </w:p>
        </w:tc>
        <w:tc>
          <w:tcPr>
            <w:tcW w:type="dxa" w:w="3744"/>
            <w:shd w:val="clear" w:color="auto" w:fill="FFFFFF"/>
            <w:tcMar>
              <w:top w:w="80" w:type="dxa"/>
              <w:bottom w:w="80" w:type="dxa"/>
              <w:left w:w="120" w:type="dxa"/>
              <w:right w:w="120" w:type="dxa"/>
            </w:tcMar>
          </w:tcPr>
          <w:p>
            <w:pPr>
              <w:jc w:val="left"/>
            </w:pPr>
            <w:r>
              <w:rPr>
                <w:rFonts w:ascii="Calibri" w:hAnsi="Calibri"/>
                <w:color w:val="1E293B"/>
                <w:sz w:val="19"/>
              </w:rPr>
              <w:t>ACID transactional integrity, connection pooling via asyncpg, declarative relational modeling, and versioned migrations.</w:t>
            </w:r>
          </w:p>
        </w:tc>
      </w:tr>
      <w:tr>
        <w:tc>
          <w:tcPr>
            <w:tcW w:type="dxa" w:w="2304"/>
            <w:shd w:val="clear" w:color="auto" w:fill="F8FAFC"/>
            <w:tcMar>
              <w:top w:w="80" w:type="dxa"/>
              <w:bottom w:w="80" w:type="dxa"/>
              <w:left w:w="120" w:type="dxa"/>
              <w:right w:w="120" w:type="dxa"/>
            </w:tcMar>
          </w:tcPr>
          <w:p>
            <w:pPr>
              <w:jc w:val="left"/>
            </w:pPr>
            <w:r>
              <w:rPr>
                <w:rFonts w:ascii="Calibri" w:hAnsi="Calibri"/>
                <w:color w:val="1E293B"/>
                <w:sz w:val="19"/>
              </w:rPr>
              <w:t>Authentication &amp; Storage</w:t>
            </w:r>
          </w:p>
        </w:tc>
        <w:tc>
          <w:tcPr>
            <w:tcW w:type="dxa" w:w="3168"/>
            <w:shd w:val="clear" w:color="auto" w:fill="F8FAFC"/>
            <w:tcMar>
              <w:top w:w="80" w:type="dxa"/>
              <w:bottom w:w="80" w:type="dxa"/>
              <w:left w:w="120" w:type="dxa"/>
              <w:right w:w="120" w:type="dxa"/>
            </w:tcMar>
          </w:tcPr>
          <w:p>
            <w:pPr>
              <w:jc w:val="left"/>
            </w:pPr>
            <w:r>
              <w:rPr>
                <w:rFonts w:ascii="Calibri" w:hAnsi="Calibri"/>
                <w:color w:val="1E293B"/>
                <w:sz w:val="19"/>
              </w:rPr>
              <w:t>Supabase Auth (RBAC) &amp; Supabase Storage</w:t>
            </w:r>
          </w:p>
        </w:tc>
        <w:tc>
          <w:tcPr>
            <w:tcW w:type="dxa" w:w="3744"/>
            <w:shd w:val="clear" w:color="auto" w:fill="F8FAFC"/>
            <w:tcMar>
              <w:top w:w="80" w:type="dxa"/>
              <w:bottom w:w="80" w:type="dxa"/>
              <w:left w:w="120" w:type="dxa"/>
              <w:right w:w="120" w:type="dxa"/>
            </w:tcMar>
          </w:tcPr>
          <w:p>
            <w:pPr>
              <w:jc w:val="left"/>
            </w:pPr>
            <w:r>
              <w:rPr>
                <w:rFonts w:ascii="Calibri" w:hAnsi="Calibri"/>
                <w:color w:val="1E293B"/>
                <w:sz w:val="19"/>
              </w:rPr>
              <w:t>Cryptographic JWT verification (HS256/RS256), short-lived signed URLs for sensitive clinical assets.</w:t>
            </w:r>
          </w:p>
        </w:tc>
      </w:tr>
      <w:tr>
        <w:tc>
          <w:tcPr>
            <w:tcW w:type="dxa" w:w="2304"/>
            <w:shd w:val="clear" w:color="auto" w:fill="FFFFFF"/>
            <w:tcMar>
              <w:top w:w="80" w:type="dxa"/>
              <w:bottom w:w="80" w:type="dxa"/>
              <w:left w:w="120" w:type="dxa"/>
              <w:right w:w="120" w:type="dxa"/>
            </w:tcMar>
          </w:tcPr>
          <w:p>
            <w:pPr>
              <w:jc w:val="left"/>
            </w:pPr>
            <w:r>
              <w:rPr>
                <w:rFonts w:ascii="Calibri" w:hAnsi="Calibri"/>
                <w:color w:val="1E293B"/>
                <w:sz w:val="19"/>
              </w:rPr>
              <w:t>Health Standards</w:t>
            </w:r>
          </w:p>
        </w:tc>
        <w:tc>
          <w:tcPr>
            <w:tcW w:type="dxa" w:w="3168"/>
            <w:shd w:val="clear" w:color="auto" w:fill="FFFFFF"/>
            <w:tcMar>
              <w:top w:w="80" w:type="dxa"/>
              <w:bottom w:w="80" w:type="dxa"/>
              <w:left w:w="120" w:type="dxa"/>
              <w:right w:w="120" w:type="dxa"/>
            </w:tcMar>
          </w:tcPr>
          <w:p>
            <w:pPr>
              <w:jc w:val="left"/>
            </w:pPr>
            <w:r>
              <w:rPr>
                <w:rFonts w:ascii="Calibri" w:hAnsi="Calibri"/>
                <w:color w:val="1E293B"/>
                <w:sz w:val="19"/>
              </w:rPr>
              <w:t>HL7 FHIR Release 4, Simulated ABDM M1/M2/M3</w:t>
            </w:r>
          </w:p>
        </w:tc>
        <w:tc>
          <w:tcPr>
            <w:tcW w:type="dxa" w:w="3744"/>
            <w:shd w:val="clear" w:color="auto" w:fill="FFFFFF"/>
            <w:tcMar>
              <w:top w:w="80" w:type="dxa"/>
              <w:bottom w:w="80" w:type="dxa"/>
              <w:left w:w="120" w:type="dxa"/>
              <w:right w:w="120" w:type="dxa"/>
            </w:tcMar>
          </w:tcPr>
          <w:p>
            <w:pPr>
              <w:jc w:val="left"/>
            </w:pPr>
            <w:r>
              <w:rPr>
                <w:rFonts w:ascii="Calibri" w:hAnsi="Calibri"/>
                <w:color w:val="1E293B"/>
                <w:sz w:val="19"/>
              </w:rPr>
              <w:t>Standardized JSON schemas for Encounter, Appointment, Patient, and Practitioner; ABHA &amp; HPR registry compliance.</w:t>
            </w:r>
          </w:p>
        </w:tc>
      </w:tr>
    </w:tbl>
    <w:p>
      <w:pPr>
        <w:spacing w:after="120"/>
      </w:pPr>
    </w:p>
    <w:p>
      <w:pPr>
        <w:keepNext/>
        <w:spacing w:before="360" w:after="120"/>
      </w:pPr>
      <w:r>
        <w:rPr>
          <w:rFonts w:ascii="Arial" w:hAnsi="Arial"/>
          <w:b/>
          <w:color w:val="1B365D"/>
          <w:sz w:val="32"/>
        </w:rPr>
        <w:t>4. Month 1 Detailed Engineering Progression (Days 1–20)</w:t>
      </w:r>
    </w:p>
    <w:p>
      <w:pPr>
        <w:spacing w:after="120" w:line="276" w:lineRule="auto"/>
      </w:pPr>
      <w:r>
        <w:rPr>
          <w:rFonts w:ascii="Calibri" w:hAnsi="Calibri"/>
          <w:color w:val="1E293B"/>
          <w:sz w:val="22"/>
        </w:rPr>
        <w:t>Month 1 development followed a strict daily discipline of 10+ atomic micro-commits adhering to Conventional Commits. The 20-day timeline is summarized across four weekly milestones:</w:t>
      </w:r>
    </w:p>
    <w:p>
      <w:pPr>
        <w:keepNext/>
        <w:spacing w:before="280" w:after="80"/>
      </w:pPr>
      <w:r>
        <w:rPr>
          <w:rFonts w:ascii="Arial" w:hAnsi="Arial"/>
          <w:b/>
          <w:color w:val="2563EB"/>
          <w:sz w:val="26"/>
        </w:rPr>
        <w:t>Week 1: Monorepo Scaffold, Telemetry &amp; Diagnostics (Days 1–5)</w:t>
      </w:r>
    </w:p>
    <w:p>
      <w:pPr>
        <w:pStyle w:val="ListBullet"/>
        <w:spacing w:after="60" w:line="276" w:lineRule="auto"/>
      </w:pPr>
      <w:r>
        <w:rPr>
          <w:rFonts w:ascii="Calibri" w:hAnsi="Calibri"/>
          <w:b/>
          <w:color w:val="1E293B"/>
          <w:sz w:val="22"/>
        </w:rPr>
        <w:t xml:space="preserve">Day 1: </w:t>
      </w:r>
      <w:r>
        <w:rPr>
          <w:rFonts w:ascii="Calibri" w:hAnsi="Calibri"/>
          <w:color w:val="1E293B"/>
          <w:sz w:val="22"/>
        </w:rPr>
        <w:t>Day 1: Monorepo directory scaffold established; initialized Next.js 15 with Turbopack and FastAPI ASGI application.</w:t>
      </w:r>
    </w:p>
    <w:p>
      <w:pPr>
        <w:pStyle w:val="ListBullet"/>
        <w:spacing w:after="60" w:line="276" w:lineRule="auto"/>
      </w:pPr>
      <w:r>
        <w:rPr>
          <w:rFonts w:ascii="Calibri" w:hAnsi="Calibri"/>
          <w:b/>
          <w:color w:val="1E293B"/>
          <w:sz w:val="22"/>
        </w:rPr>
        <w:t xml:space="preserve">Day 2: </w:t>
      </w:r>
      <w:r>
        <w:rPr>
          <w:rFonts w:ascii="Calibri" w:hAnsi="Calibri"/>
          <w:color w:val="1E293B"/>
          <w:sz w:val="22"/>
        </w:rPr>
        <w:t>Day 2: Clinical design tokens created in globals.css; semantic colors configured for high-contrast accessibility.</w:t>
      </w:r>
    </w:p>
    <w:p>
      <w:pPr>
        <w:pStyle w:val="ListBullet"/>
        <w:spacing w:after="60" w:line="276" w:lineRule="auto"/>
      </w:pPr>
      <w:r>
        <w:rPr>
          <w:rFonts w:ascii="Calibri" w:hAnsi="Calibri"/>
          <w:b/>
          <w:color w:val="1E293B"/>
          <w:sz w:val="22"/>
        </w:rPr>
        <w:t xml:space="preserve">Day 3: </w:t>
      </w:r>
      <w:r>
        <w:rPr>
          <w:rFonts w:ascii="Calibri" w:hAnsi="Calibri"/>
          <w:color w:val="1E293B"/>
          <w:sz w:val="22"/>
        </w:rPr>
        <w:t>Day 3: Custom ASGI telemetry middleware implemented injecting X-Request-ID correlation headers and microsecond X-Process-Time metrics.</w:t>
      </w:r>
    </w:p>
    <w:p>
      <w:pPr>
        <w:pStyle w:val="ListBullet"/>
        <w:spacing w:after="60" w:line="276" w:lineRule="auto"/>
      </w:pPr>
      <w:r>
        <w:rPr>
          <w:rFonts w:ascii="Calibri" w:hAnsi="Calibri"/>
          <w:b/>
          <w:color w:val="1E293B"/>
          <w:sz w:val="22"/>
        </w:rPr>
        <w:t xml:space="preserve">Day 4: </w:t>
      </w:r>
      <w:r>
        <w:rPr>
          <w:rFonts w:ascii="Calibri" w:hAnsi="Calibri"/>
          <w:color w:val="1E293B"/>
          <w:sz w:val="22"/>
        </w:rPr>
        <w:t>Day 4: Unified clinical layout navigation shell constructed with responsive header and role switcher.</w:t>
      </w:r>
    </w:p>
    <w:p>
      <w:pPr>
        <w:pStyle w:val="ListBullet"/>
        <w:spacing w:after="60" w:line="276" w:lineRule="auto"/>
      </w:pPr>
      <w:r>
        <w:rPr>
          <w:rFonts w:ascii="Calibri" w:hAnsi="Calibri"/>
          <w:b/>
          <w:color w:val="1E293B"/>
          <w:sz w:val="22"/>
        </w:rPr>
        <w:t xml:space="preserve">Day 5: </w:t>
      </w:r>
      <w:r>
        <w:rPr>
          <w:rFonts w:ascii="Calibri" w:hAnsi="Calibri"/>
          <w:color w:val="1E293B"/>
          <w:sz w:val="22"/>
        </w:rPr>
        <w:t>Day 5: Pre-flight diagnostic tool scripts/doctor.py authored to validate 8 subsystems (Python, Node, Venv, Database, Config, Git).</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40"/>
            </w:pPr>
            <w:r>
              <w:rPr>
                <w:rFonts w:ascii="Arial" w:hAnsi="Arial"/>
                <w:b/>
                <w:color w:val="2563EB"/>
                <w:sz w:val="21"/>
              </w:rPr>
              <w:t>Week 1 Milestone Close</w:t>
              <w:br/>
            </w:r>
            <w:r>
              <w:rPr>
                <w:rFonts w:ascii="Calibri" w:hAnsi="Calibri"/>
                <w:i/>
                <w:color w:val="1E293B"/>
                <w:sz w:val="21"/>
              </w:rPr>
              <w:t>Week 1 Outcome: Monorepo operational with 6 baseline tests passing; automated telemetry and pre-flight doctor check verified.</w:t>
            </w:r>
          </w:p>
        </w:tc>
      </w:tr>
    </w:tbl>
    <w:p>
      <w:pPr>
        <w:spacing w:after="80"/>
      </w:pPr>
    </w:p>
    <w:p>
      <w:pPr>
        <w:keepNext/>
        <w:spacing w:before="280" w:after="80"/>
      </w:pPr>
      <w:r>
        <w:rPr>
          <w:rFonts w:ascii="Arial" w:hAnsi="Arial"/>
          <w:b/>
          <w:color w:val="2563EB"/>
          <w:sz w:val="26"/>
        </w:rPr>
        <w:t>Week 2: Relational Data Models &amp; Patient Vault (Days 6–10)</w:t>
      </w:r>
    </w:p>
    <w:p>
      <w:pPr>
        <w:pStyle w:val="ListBullet"/>
        <w:spacing w:after="60" w:line="276" w:lineRule="auto"/>
      </w:pPr>
      <w:r>
        <w:rPr>
          <w:rFonts w:ascii="Calibri" w:hAnsi="Calibri"/>
          <w:b/>
          <w:color w:val="1E293B"/>
          <w:sz w:val="22"/>
        </w:rPr>
        <w:t xml:space="preserve">Day 6: </w:t>
      </w:r>
      <w:r>
        <w:rPr>
          <w:rFonts w:ascii="Calibri" w:hAnsi="Calibri"/>
          <w:color w:val="1E293B"/>
          <w:sz w:val="22"/>
        </w:rPr>
        <w:t>Day 6: Async SQLAlchemy 2.0 engine configured with asyncpg connection pooling (pool_size=10, max_overflow=20) and ping health probes.</w:t>
      </w:r>
    </w:p>
    <w:p>
      <w:pPr>
        <w:pStyle w:val="ListBullet"/>
        <w:spacing w:after="60" w:line="276" w:lineRule="auto"/>
      </w:pPr>
      <w:r>
        <w:rPr>
          <w:rFonts w:ascii="Calibri" w:hAnsi="Calibri"/>
          <w:b/>
          <w:color w:val="1E293B"/>
          <w:sz w:val="22"/>
        </w:rPr>
        <w:t xml:space="preserve">Day 7: </w:t>
      </w:r>
      <w:r>
        <w:rPr>
          <w:rFonts w:ascii="Calibri" w:hAnsi="Calibri"/>
          <w:color w:val="1E293B"/>
          <w:sz w:val="22"/>
        </w:rPr>
        <w:t>Day 7: User and PatientProfile models created; 14-digit ABHA validation logic enforced via regex (91-XXXX-XXXX-XXXX).</w:t>
      </w:r>
    </w:p>
    <w:p>
      <w:pPr>
        <w:pStyle w:val="ListBullet"/>
        <w:spacing w:after="60" w:line="276" w:lineRule="auto"/>
      </w:pPr>
      <w:r>
        <w:rPr>
          <w:rFonts w:ascii="Calibri" w:hAnsi="Calibri"/>
          <w:b/>
          <w:color w:val="1E293B"/>
          <w:sz w:val="22"/>
        </w:rPr>
        <w:t xml:space="preserve">Day 8: </w:t>
      </w:r>
      <w:r>
        <w:rPr>
          <w:rFonts w:ascii="Calibri" w:hAnsi="Calibri"/>
          <w:color w:val="1E293B"/>
          <w:sz w:val="22"/>
        </w:rPr>
        <w:t>Day 8: DoctorProfile (NMC registration, specialty, consultation fee, HPR ID) and DiagnosticLabFacility entities authored.</w:t>
      </w:r>
    </w:p>
    <w:p>
      <w:pPr>
        <w:pStyle w:val="ListBullet"/>
        <w:spacing w:after="60" w:line="276" w:lineRule="auto"/>
      </w:pPr>
      <w:r>
        <w:rPr>
          <w:rFonts w:ascii="Calibri" w:hAnsi="Calibri"/>
          <w:b/>
          <w:color w:val="1E293B"/>
          <w:sz w:val="22"/>
        </w:rPr>
        <w:t xml:space="preserve">Day 9: </w:t>
      </w:r>
      <w:r>
        <w:rPr>
          <w:rFonts w:ascii="Calibri" w:hAnsi="Calibri"/>
          <w:color w:val="1E293B"/>
          <w:sz w:val="22"/>
        </w:rPr>
        <w:t>Day 9: Initial Alembic migration 0001_initial_core_schema authored; idempotent test seeder scripts/seed-db.py developed.</w:t>
      </w:r>
    </w:p>
    <w:p>
      <w:pPr>
        <w:pStyle w:val="ListBullet"/>
        <w:spacing w:after="60" w:line="276" w:lineRule="auto"/>
      </w:pPr>
      <w:r>
        <w:rPr>
          <w:rFonts w:ascii="Calibri" w:hAnsi="Calibri"/>
          <w:b/>
          <w:color w:val="1E293B"/>
          <w:sz w:val="22"/>
        </w:rPr>
        <w:t xml:space="preserve">Day 10: </w:t>
      </w:r>
      <w:r>
        <w:rPr>
          <w:rFonts w:ascii="Calibri" w:hAnsi="Calibri"/>
          <w:color w:val="1E293B"/>
          <w:sz w:val="22"/>
        </w:rPr>
        <w:t>Day 10: Patient Vault CRUD API implemented with full pagination, filtering, and 52 passing automated tests.</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40"/>
            </w:pPr>
            <w:r>
              <w:rPr>
                <w:rFonts w:ascii="Arial" w:hAnsi="Arial"/>
                <w:b/>
                <w:color w:val="2563EB"/>
                <w:sz w:val="21"/>
              </w:rPr>
              <w:t>Week 2 Milestone Close</w:t>
              <w:br/>
            </w:r>
            <w:r>
              <w:rPr>
                <w:rFonts w:ascii="Calibri" w:hAnsi="Calibri"/>
                <w:i/>
                <w:color w:val="1E293B"/>
                <w:sz w:val="21"/>
              </w:rPr>
              <w:t>Week 2 Outcome: Complete relational schema deployed; Patient Vault operational with 52 tests passing (100% pass rate in 1.85s).</w:t>
            </w:r>
          </w:p>
        </w:tc>
      </w:tr>
    </w:tbl>
    <w:p>
      <w:pPr>
        <w:spacing w:after="80"/>
      </w:pPr>
    </w:p>
    <w:p>
      <w:pPr>
        <w:keepNext/>
        <w:spacing w:before="280" w:after="80"/>
      </w:pPr>
      <w:r>
        <w:rPr>
          <w:rFonts w:ascii="Arial" w:hAnsi="Arial"/>
          <w:b/>
          <w:color w:val="2563EB"/>
          <w:sz w:val="26"/>
        </w:rPr>
        <w:t>Week 3: Identity, 4-Tier RBAC &amp; Clean SaaS UI (Days 11–15)</w:t>
      </w:r>
    </w:p>
    <w:p>
      <w:pPr>
        <w:pStyle w:val="ListBullet"/>
        <w:spacing w:after="60" w:line="276" w:lineRule="auto"/>
      </w:pPr>
      <w:r>
        <w:rPr>
          <w:rFonts w:ascii="Calibri" w:hAnsi="Calibri"/>
          <w:b/>
          <w:color w:val="1E293B"/>
          <w:sz w:val="22"/>
        </w:rPr>
        <w:t xml:space="preserve">Day 11: </w:t>
      </w:r>
      <w:r>
        <w:rPr>
          <w:rFonts w:ascii="Calibri" w:hAnsi="Calibri"/>
          <w:color w:val="1E293B"/>
          <w:sz w:val="22"/>
        </w:rPr>
        <w:t>Day 11: Supabase Auth integrated with custom JWT middleware decoding tokens and validating user session claims.</w:t>
      </w:r>
    </w:p>
    <w:p>
      <w:pPr>
        <w:pStyle w:val="ListBullet"/>
        <w:spacing w:after="60" w:line="276" w:lineRule="auto"/>
      </w:pPr>
      <w:r>
        <w:rPr>
          <w:rFonts w:ascii="Calibri" w:hAnsi="Calibri"/>
          <w:b/>
          <w:color w:val="1E293B"/>
          <w:sz w:val="22"/>
        </w:rPr>
        <w:t xml:space="preserve">Day 12: </w:t>
      </w:r>
      <w:r>
        <w:rPr>
          <w:rFonts w:ascii="Calibri" w:hAnsi="Calibri"/>
          <w:color w:val="1E293B"/>
          <w:sz w:val="22"/>
        </w:rPr>
        <w:t>Day 12: Declarative RoleChecker dependency implemented in FastAPI enforcing 4 distinct roles (PATIENT, DOCTOR, LAB_TECHNICIAN, ADMIN).</w:t>
      </w:r>
    </w:p>
    <w:p>
      <w:pPr>
        <w:pStyle w:val="ListBullet"/>
        <w:spacing w:after="60" w:line="276" w:lineRule="auto"/>
      </w:pPr>
      <w:r>
        <w:rPr>
          <w:rFonts w:ascii="Calibri" w:hAnsi="Calibri"/>
          <w:b/>
          <w:color w:val="1E293B"/>
          <w:sz w:val="22"/>
        </w:rPr>
        <w:t xml:space="preserve">Day 13: </w:t>
      </w:r>
      <w:r>
        <w:rPr>
          <w:rFonts w:ascii="Calibri" w:hAnsi="Calibri"/>
          <w:color w:val="1E293B"/>
          <w:sz w:val="22"/>
        </w:rPr>
        <w:t>Day 13: Doctor EMR directory endpoints created (/api/v1/doctors) with specialty filtering and fee queries.</w:t>
      </w:r>
    </w:p>
    <w:p>
      <w:pPr>
        <w:pStyle w:val="ListBullet"/>
        <w:spacing w:after="60" w:line="276" w:lineRule="auto"/>
      </w:pPr>
      <w:r>
        <w:rPr>
          <w:rFonts w:ascii="Calibri" w:hAnsi="Calibri"/>
          <w:b/>
          <w:color w:val="1E293B"/>
          <w:sz w:val="22"/>
        </w:rPr>
        <w:t xml:space="preserve">Day 14: </w:t>
      </w:r>
      <w:r>
        <w:rPr>
          <w:rFonts w:ascii="Calibri" w:hAnsi="Calibri"/>
          <w:color w:val="1E293B"/>
          <w:sz w:val="22"/>
        </w:rPr>
        <w:t>Day 14: Frontend migrated to clean SaaS design language (#ffffff white canvas, #111111 dark primary buttons, 1px hairline borders).</w:t>
      </w:r>
    </w:p>
    <w:p>
      <w:pPr>
        <w:pStyle w:val="ListBullet"/>
        <w:spacing w:after="60" w:line="276" w:lineRule="auto"/>
      </w:pPr>
      <w:r>
        <w:rPr>
          <w:rFonts w:ascii="Calibri" w:hAnsi="Calibri"/>
          <w:b/>
          <w:color w:val="1E293B"/>
          <w:sz w:val="22"/>
        </w:rPr>
        <w:t xml:space="preserve">Day 15: </w:t>
      </w:r>
      <w:r>
        <w:rPr>
          <w:rFonts w:ascii="Calibri" w:hAnsi="Calibri"/>
          <w:color w:val="1E293B"/>
          <w:sz w:val="22"/>
        </w:rPr>
        <w:t>Day 15: Sliding-window token-bucket rate limiter engineered (15 req/min for auth; 60 req/min general) alongside OWASP security headers.</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40"/>
            </w:pPr>
            <w:r>
              <w:rPr>
                <w:rFonts w:ascii="Arial" w:hAnsi="Arial"/>
                <w:b/>
                <w:color w:val="2563EB"/>
                <w:sz w:val="21"/>
              </w:rPr>
              <w:t>Week 3 Milestone Close</w:t>
              <w:br/>
            </w:r>
            <w:r>
              <w:rPr>
                <w:rFonts w:ascii="Calibri" w:hAnsi="Calibri"/>
                <w:i/>
                <w:color w:val="1E293B"/>
                <w:sz w:val="21"/>
              </w:rPr>
              <w:t>Week 3 Outcome: Strict multi-tenant security perimeter active; UI transformed into clean SaaS interface; test suite expanded to 115 tests.</w:t>
            </w:r>
          </w:p>
        </w:tc>
      </w:tr>
    </w:tbl>
    <w:p>
      <w:pPr>
        <w:spacing w:after="80"/>
      </w:pPr>
    </w:p>
    <w:p>
      <w:pPr>
        <w:keepNext/>
        <w:spacing w:before="280" w:after="80"/>
      </w:pPr>
      <w:r>
        <w:rPr>
          <w:rFonts w:ascii="Arial" w:hAnsi="Arial"/>
          <w:b/>
          <w:color w:val="2563EB"/>
          <w:sz w:val="26"/>
        </w:rPr>
        <w:t>Week 4: Clinical Encounters, Concurrency &amp; Release v0.1.0 (Days 16–20)</w:t>
      </w:r>
    </w:p>
    <w:p>
      <w:pPr>
        <w:pStyle w:val="ListBullet"/>
        <w:spacing w:after="60" w:line="276" w:lineRule="auto"/>
      </w:pPr>
      <w:r>
        <w:rPr>
          <w:rFonts w:ascii="Calibri" w:hAnsi="Calibri"/>
          <w:b/>
          <w:color w:val="1E293B"/>
          <w:sz w:val="22"/>
        </w:rPr>
        <w:t xml:space="preserve">Day 16: </w:t>
      </w:r>
      <w:r>
        <w:rPr>
          <w:rFonts w:ascii="Calibri" w:hAnsi="Calibri"/>
          <w:color w:val="1E293B"/>
          <w:sz w:val="22"/>
        </w:rPr>
        <w:t>Day 16: DoctorSlot and Appointment models created; slot generation engine developed respecting working hours and break exclusions.</w:t>
      </w:r>
    </w:p>
    <w:p>
      <w:pPr>
        <w:pStyle w:val="ListBullet"/>
        <w:spacing w:after="60" w:line="276" w:lineRule="auto"/>
      </w:pPr>
      <w:r>
        <w:rPr>
          <w:rFonts w:ascii="Calibri" w:hAnsi="Calibri"/>
          <w:b/>
          <w:color w:val="1E293B"/>
          <w:sz w:val="22"/>
        </w:rPr>
        <w:t xml:space="preserve">Day 17: </w:t>
      </w:r>
      <w:r>
        <w:rPr>
          <w:rFonts w:ascii="Calibri" w:hAnsi="Calibri"/>
          <w:color w:val="1E293B"/>
          <w:sz w:val="22"/>
        </w:rPr>
        <w:t>Day 17: ACID row-level locking implemented with SELECT ... FOR UPDATE, guaranteeing zero double-booking race conditions.</w:t>
      </w:r>
    </w:p>
    <w:p>
      <w:pPr>
        <w:pStyle w:val="ListBullet"/>
        <w:spacing w:after="60" w:line="276" w:lineRule="auto"/>
      </w:pPr>
      <w:r>
        <w:rPr>
          <w:rFonts w:ascii="Calibri" w:hAnsi="Calibri"/>
          <w:b/>
          <w:color w:val="1E293B"/>
          <w:sz w:val="22"/>
        </w:rPr>
        <w:t xml:space="preserve">Day 18: </w:t>
      </w:r>
      <w:r>
        <w:rPr>
          <w:rFonts w:ascii="Calibri" w:hAnsi="Calibri"/>
          <w:color w:val="1E293B"/>
          <w:sz w:val="22"/>
        </w:rPr>
        <w:t>Day 18: HL7 FHIR Release 4 transformers built; ABDM CareContext deterministic linking engineered with SHA-256 cryptographic digests.</w:t>
      </w:r>
    </w:p>
    <w:p>
      <w:pPr>
        <w:pStyle w:val="ListBullet"/>
        <w:spacing w:after="60" w:line="276" w:lineRule="auto"/>
      </w:pPr>
      <w:r>
        <w:rPr>
          <w:rFonts w:ascii="Calibri" w:hAnsi="Calibri"/>
          <w:b/>
          <w:color w:val="1E293B"/>
          <w:sz w:val="22"/>
        </w:rPr>
        <w:t xml:space="preserve">Day 19: </w:t>
      </w:r>
      <w:r>
        <w:rPr>
          <w:rFonts w:ascii="Calibri" w:hAnsi="Calibri"/>
          <w:color w:val="1E293B"/>
          <w:sz w:val="22"/>
        </w:rPr>
        <w:t>Day 19: Interactive clinical slot picker component integrated with real-time 10-minute hold countdown timer.</w:t>
      </w:r>
    </w:p>
    <w:p>
      <w:pPr>
        <w:pStyle w:val="ListBullet"/>
        <w:spacing w:after="60" w:line="276" w:lineRule="auto"/>
      </w:pPr>
      <w:r>
        <w:rPr>
          <w:rFonts w:ascii="Calibri" w:hAnsi="Calibri"/>
          <w:b/>
          <w:color w:val="1E293B"/>
          <w:sz w:val="22"/>
        </w:rPr>
        <w:t xml:space="preserve">Day 20: </w:t>
      </w:r>
      <w:r>
        <w:rPr>
          <w:rFonts w:ascii="Calibri" w:hAnsi="Calibri"/>
          <w:color w:val="1E293B"/>
          <w:sz w:val="22"/>
        </w:rPr>
        <w:t>Day 20: Comprehensive Month 1 regression testing executed; 151/151 tests passed; official milestone release v0.1.0 tagged.</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40"/>
            </w:pPr>
            <w:r>
              <w:rPr>
                <w:rFonts w:ascii="Arial" w:hAnsi="Arial"/>
                <w:b/>
                <w:color w:val="2563EB"/>
                <w:sz w:val="21"/>
              </w:rPr>
              <w:t>Week 4 Milestone Close</w:t>
              <w:br/>
            </w:r>
            <w:r>
              <w:rPr>
                <w:rFonts w:ascii="Calibri" w:hAnsi="Calibri"/>
                <w:i/>
                <w:color w:val="1E293B"/>
                <w:sz w:val="21"/>
              </w:rPr>
              <w:t>Week 4 Outcome: Conflict-free scheduling engine operational; lossless FHIR export verified; Month 1 officially closed with Release v0.1.0.</w:t>
            </w:r>
          </w:p>
        </w:tc>
      </w:tr>
    </w:tbl>
    <w:p>
      <w:pPr>
        <w:spacing w:after="80"/>
      </w:pPr>
    </w:p>
    <w:p>
      <w:pPr>
        <w:keepNext/>
        <w:spacing w:before="360" w:after="120"/>
      </w:pPr>
      <w:r>
        <w:rPr>
          <w:rFonts w:ascii="Arial" w:hAnsi="Arial"/>
          <w:b/>
          <w:color w:val="1B365D"/>
          <w:sz w:val="32"/>
        </w:rPr>
        <w:t>5. Relational Database Design &amp; Schema Specifications</w:t>
      </w:r>
    </w:p>
    <w:p>
      <w:pPr>
        <w:spacing w:after="120" w:line="276" w:lineRule="auto"/>
      </w:pPr>
      <w:r>
        <w:rPr>
          <w:rFonts w:ascii="Calibri" w:hAnsi="Calibri"/>
          <w:color w:val="1E293B"/>
          <w:sz w:val="22"/>
        </w:rPr>
        <w:t>The database architecture consists of 6 core relational entities managed through 3 versioned Alembic migrations:</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1B365D"/>
            <w:tcMar>
              <w:top w:w="120" w:type="dxa"/>
              <w:bottom w:w="120" w:type="dxa"/>
              <w:left w:w="140" w:type="dxa"/>
              <w:right w:w="140" w:type="dxa"/>
            </w:tcMar>
          </w:tcPr>
          <w:p>
            <w:pPr>
              <w:jc w:val="left"/>
            </w:pPr>
            <w:r>
              <w:rPr>
                <w:rFonts w:ascii="Arial" w:hAnsi="Arial"/>
                <w:b/>
                <w:color w:val="FFFFFF"/>
                <w:sz w:val="20"/>
              </w:rPr>
              <w:t>Entity Table</w:t>
            </w:r>
          </w:p>
        </w:tc>
        <w:tc>
          <w:tcPr>
            <w:tcW w:type="dxa" w:w="1872"/>
            <w:shd w:val="clear" w:color="auto" w:fill="1B365D"/>
            <w:tcMar>
              <w:top w:w="120" w:type="dxa"/>
              <w:bottom w:w="120" w:type="dxa"/>
              <w:left w:w="140" w:type="dxa"/>
              <w:right w:w="140" w:type="dxa"/>
            </w:tcMar>
          </w:tcPr>
          <w:p>
            <w:pPr>
              <w:jc w:val="left"/>
            </w:pPr>
            <w:r>
              <w:rPr>
                <w:rFonts w:ascii="Arial" w:hAnsi="Arial"/>
                <w:b/>
                <w:color w:val="FFFFFF"/>
                <w:sz w:val="20"/>
              </w:rPr>
              <w:t>Primary Key</w:t>
            </w:r>
          </w:p>
        </w:tc>
        <w:tc>
          <w:tcPr>
            <w:tcW w:type="dxa" w:w="2592"/>
            <w:shd w:val="clear" w:color="auto" w:fill="1B365D"/>
            <w:tcMar>
              <w:top w:w="120" w:type="dxa"/>
              <w:bottom w:w="120" w:type="dxa"/>
              <w:left w:w="140" w:type="dxa"/>
              <w:right w:w="140" w:type="dxa"/>
            </w:tcMar>
          </w:tcPr>
          <w:p>
            <w:pPr>
              <w:jc w:val="left"/>
            </w:pPr>
            <w:r>
              <w:rPr>
                <w:rFonts w:ascii="Arial" w:hAnsi="Arial"/>
                <w:b/>
                <w:color w:val="FFFFFF"/>
                <w:sz w:val="20"/>
              </w:rPr>
              <w:t>Key Attributes &amp; Types</w:t>
            </w:r>
          </w:p>
        </w:tc>
        <w:tc>
          <w:tcPr>
            <w:tcW w:type="dxa" w:w="2880"/>
            <w:shd w:val="clear" w:color="auto" w:fill="1B365D"/>
            <w:tcMar>
              <w:top w:w="120" w:type="dxa"/>
              <w:bottom w:w="120" w:type="dxa"/>
              <w:left w:w="140" w:type="dxa"/>
              <w:right w:w="140" w:type="dxa"/>
            </w:tcMar>
          </w:tcPr>
          <w:p>
            <w:pPr>
              <w:jc w:val="left"/>
            </w:pPr>
            <w:r>
              <w:rPr>
                <w:rFonts w:ascii="Arial" w:hAnsi="Arial"/>
                <w:b/>
                <w:color w:val="FFFFFF"/>
                <w:sz w:val="20"/>
              </w:rPr>
              <w:t>Relational Constraints &amp; Foreign Keys</w:t>
            </w:r>
          </w:p>
        </w:tc>
      </w:tr>
      <w:tr>
        <w:tc>
          <w:tcPr>
            <w:tcW w:type="dxa" w:w="1872"/>
            <w:shd w:val="clear" w:color="auto" w:fill="FFFFFF"/>
            <w:tcMar>
              <w:top w:w="80" w:type="dxa"/>
              <w:bottom w:w="80" w:type="dxa"/>
              <w:left w:w="120" w:type="dxa"/>
              <w:right w:w="120" w:type="dxa"/>
            </w:tcMar>
          </w:tcPr>
          <w:p>
            <w:pPr>
              <w:jc w:val="left"/>
            </w:pPr>
            <w:r>
              <w:rPr>
                <w:rFonts w:ascii="Calibri" w:hAnsi="Calibri"/>
                <w:color w:val="1E293B"/>
                <w:sz w:val="19"/>
              </w:rPr>
              <w:t>users</w:t>
            </w:r>
          </w:p>
        </w:tc>
        <w:tc>
          <w:tcPr>
            <w:tcW w:type="dxa" w:w="1872"/>
            <w:shd w:val="clear" w:color="auto" w:fill="FFFFFF"/>
            <w:tcMar>
              <w:top w:w="80" w:type="dxa"/>
              <w:bottom w:w="80" w:type="dxa"/>
              <w:left w:w="120" w:type="dxa"/>
              <w:right w:w="120" w:type="dxa"/>
            </w:tcMar>
          </w:tcPr>
          <w:p>
            <w:pPr>
              <w:jc w:val="left"/>
            </w:pPr>
            <w:r>
              <w:rPr>
                <w:rFonts w:ascii="Calibri" w:hAnsi="Calibri"/>
                <w:color w:val="1E293B"/>
                <w:sz w:val="19"/>
              </w:rPr>
              <w:t>id (UUID)</w:t>
            </w:r>
          </w:p>
        </w:tc>
        <w:tc>
          <w:tcPr>
            <w:tcW w:type="dxa" w:w="2592"/>
            <w:shd w:val="clear" w:color="auto" w:fill="FFFFFF"/>
            <w:tcMar>
              <w:top w:w="80" w:type="dxa"/>
              <w:bottom w:w="80" w:type="dxa"/>
              <w:left w:w="120" w:type="dxa"/>
              <w:right w:w="120" w:type="dxa"/>
            </w:tcMar>
          </w:tcPr>
          <w:p>
            <w:pPr>
              <w:jc w:val="left"/>
            </w:pPr>
            <w:r>
              <w:rPr>
                <w:rFonts w:ascii="Calibri" w:hAnsi="Calibri"/>
                <w:color w:val="1E293B"/>
                <w:sz w:val="19"/>
              </w:rPr>
              <w:t>email (VARCHAR), role (ENUM), is_active (BOOL)</w:t>
            </w:r>
          </w:p>
        </w:tc>
        <w:tc>
          <w:tcPr>
            <w:tcW w:type="dxa" w:w="2880"/>
            <w:shd w:val="clear" w:color="auto" w:fill="FFFFFF"/>
            <w:tcMar>
              <w:top w:w="80" w:type="dxa"/>
              <w:bottom w:w="80" w:type="dxa"/>
              <w:left w:w="120" w:type="dxa"/>
              <w:right w:w="120" w:type="dxa"/>
            </w:tcMar>
          </w:tcPr>
          <w:p>
            <w:pPr>
              <w:jc w:val="left"/>
            </w:pPr>
            <w:r>
              <w:rPr>
                <w:rFonts w:ascii="Calibri" w:hAnsi="Calibri"/>
                <w:color w:val="1E293B"/>
                <w:sz w:val="19"/>
              </w:rPr>
              <w:t>UNIQUE(email), indexed on email and role.</w:t>
            </w:r>
          </w:p>
        </w:tc>
      </w:tr>
      <w:tr>
        <w:tc>
          <w:tcPr>
            <w:tcW w:type="dxa" w:w="1872"/>
            <w:shd w:val="clear" w:color="auto" w:fill="F8FAFC"/>
            <w:tcMar>
              <w:top w:w="80" w:type="dxa"/>
              <w:bottom w:w="80" w:type="dxa"/>
              <w:left w:w="120" w:type="dxa"/>
              <w:right w:w="120" w:type="dxa"/>
            </w:tcMar>
          </w:tcPr>
          <w:p>
            <w:pPr>
              <w:jc w:val="left"/>
            </w:pPr>
            <w:r>
              <w:rPr>
                <w:rFonts w:ascii="Calibri" w:hAnsi="Calibri"/>
                <w:color w:val="1E293B"/>
                <w:sz w:val="19"/>
              </w:rPr>
              <w:t>patient_profiles</w:t>
            </w:r>
          </w:p>
        </w:tc>
        <w:tc>
          <w:tcPr>
            <w:tcW w:type="dxa" w:w="1872"/>
            <w:shd w:val="clear" w:color="auto" w:fill="F8FAFC"/>
            <w:tcMar>
              <w:top w:w="80" w:type="dxa"/>
              <w:bottom w:w="80" w:type="dxa"/>
              <w:left w:w="120" w:type="dxa"/>
              <w:right w:w="120" w:type="dxa"/>
            </w:tcMar>
          </w:tcPr>
          <w:p>
            <w:pPr>
              <w:jc w:val="left"/>
            </w:pPr>
            <w:r>
              <w:rPr>
                <w:rFonts w:ascii="Calibri" w:hAnsi="Calibri"/>
                <w:color w:val="1E293B"/>
                <w:sz w:val="19"/>
              </w:rPr>
              <w:t>id (UUID)</w:t>
            </w:r>
          </w:p>
        </w:tc>
        <w:tc>
          <w:tcPr>
            <w:tcW w:type="dxa" w:w="2592"/>
            <w:shd w:val="clear" w:color="auto" w:fill="F8FAFC"/>
            <w:tcMar>
              <w:top w:w="80" w:type="dxa"/>
              <w:bottom w:w="80" w:type="dxa"/>
              <w:left w:w="120" w:type="dxa"/>
              <w:right w:w="120" w:type="dxa"/>
            </w:tcMar>
          </w:tcPr>
          <w:p>
            <w:pPr>
              <w:jc w:val="left"/>
            </w:pPr>
            <w:r>
              <w:rPr>
                <w:rFonts w:ascii="Calibri" w:hAnsi="Calibri"/>
                <w:color w:val="1E293B"/>
                <w:sz w:val="19"/>
              </w:rPr>
              <w:t>gender (ENUM), date_of_birth (DATE), blood_group (VARCHAR), abha_number (VARCHAR)</w:t>
            </w:r>
          </w:p>
        </w:tc>
        <w:tc>
          <w:tcPr>
            <w:tcW w:type="dxa" w:w="2880"/>
            <w:shd w:val="clear" w:color="auto" w:fill="F8FAFC"/>
            <w:tcMar>
              <w:top w:w="80" w:type="dxa"/>
              <w:bottom w:w="80" w:type="dxa"/>
              <w:left w:w="120" w:type="dxa"/>
              <w:right w:w="120" w:type="dxa"/>
            </w:tcMar>
          </w:tcPr>
          <w:p>
            <w:pPr>
              <w:jc w:val="left"/>
            </w:pPr>
            <w:r>
              <w:rPr>
                <w:rFonts w:ascii="Calibri" w:hAnsi="Calibri"/>
                <w:color w:val="1E293B"/>
                <w:sz w:val="19"/>
              </w:rPr>
              <w:t>FK(user_id) -&gt; users.id (CASCADE, UNIQUE), UNIQUE(abha_number), UNIQUE(abha_address).</w:t>
            </w:r>
          </w:p>
        </w:tc>
      </w:tr>
      <w:tr>
        <w:tc>
          <w:tcPr>
            <w:tcW w:type="dxa" w:w="1872"/>
            <w:shd w:val="clear" w:color="auto" w:fill="FFFFFF"/>
            <w:tcMar>
              <w:top w:w="80" w:type="dxa"/>
              <w:bottom w:w="80" w:type="dxa"/>
              <w:left w:w="120" w:type="dxa"/>
              <w:right w:w="120" w:type="dxa"/>
            </w:tcMar>
          </w:tcPr>
          <w:p>
            <w:pPr>
              <w:jc w:val="left"/>
            </w:pPr>
            <w:r>
              <w:rPr>
                <w:rFonts w:ascii="Calibri" w:hAnsi="Calibri"/>
                <w:color w:val="1E293B"/>
                <w:sz w:val="19"/>
              </w:rPr>
              <w:t>doctor_profiles</w:t>
            </w:r>
          </w:p>
        </w:tc>
        <w:tc>
          <w:tcPr>
            <w:tcW w:type="dxa" w:w="1872"/>
            <w:shd w:val="clear" w:color="auto" w:fill="FFFFFF"/>
            <w:tcMar>
              <w:top w:w="80" w:type="dxa"/>
              <w:bottom w:w="80" w:type="dxa"/>
              <w:left w:w="120" w:type="dxa"/>
              <w:right w:w="120" w:type="dxa"/>
            </w:tcMar>
          </w:tcPr>
          <w:p>
            <w:pPr>
              <w:jc w:val="left"/>
            </w:pPr>
            <w:r>
              <w:rPr>
                <w:rFonts w:ascii="Calibri" w:hAnsi="Calibri"/>
                <w:color w:val="1E293B"/>
                <w:sz w:val="19"/>
              </w:rPr>
              <w:t>id (UUID)</w:t>
            </w:r>
          </w:p>
        </w:tc>
        <w:tc>
          <w:tcPr>
            <w:tcW w:type="dxa" w:w="2592"/>
            <w:shd w:val="clear" w:color="auto" w:fill="FFFFFF"/>
            <w:tcMar>
              <w:top w:w="80" w:type="dxa"/>
              <w:bottom w:w="80" w:type="dxa"/>
              <w:left w:w="120" w:type="dxa"/>
              <w:right w:w="120" w:type="dxa"/>
            </w:tcMar>
          </w:tcPr>
          <w:p>
            <w:pPr>
              <w:jc w:val="left"/>
            </w:pPr>
            <w:r>
              <w:rPr>
                <w:rFonts w:ascii="Calibri" w:hAnsi="Calibri"/>
                <w:color w:val="1E293B"/>
                <w:sz w:val="19"/>
              </w:rPr>
              <w:t>registration_number (VARCHAR), specialty (ENUM), consultation_fee (INT), hpr_id (VARCHAR)</w:t>
            </w:r>
          </w:p>
        </w:tc>
        <w:tc>
          <w:tcPr>
            <w:tcW w:type="dxa" w:w="2880"/>
            <w:shd w:val="clear" w:color="auto" w:fill="FFFFFF"/>
            <w:tcMar>
              <w:top w:w="80" w:type="dxa"/>
              <w:bottom w:w="80" w:type="dxa"/>
              <w:left w:w="120" w:type="dxa"/>
              <w:right w:w="120" w:type="dxa"/>
            </w:tcMar>
          </w:tcPr>
          <w:p>
            <w:pPr>
              <w:jc w:val="left"/>
            </w:pPr>
            <w:r>
              <w:rPr>
                <w:rFonts w:ascii="Calibri" w:hAnsi="Calibri"/>
                <w:color w:val="1E293B"/>
                <w:sz w:val="19"/>
              </w:rPr>
              <w:t>FK(user_id) -&gt; users.id (CASCADE, UNIQUE), UNIQUE(registration_number), UNIQUE(hpr_id).</w:t>
            </w:r>
          </w:p>
        </w:tc>
      </w:tr>
      <w:tr>
        <w:tc>
          <w:tcPr>
            <w:tcW w:type="dxa" w:w="1872"/>
            <w:shd w:val="clear" w:color="auto" w:fill="F8FAFC"/>
            <w:tcMar>
              <w:top w:w="80" w:type="dxa"/>
              <w:bottom w:w="80" w:type="dxa"/>
              <w:left w:w="120" w:type="dxa"/>
              <w:right w:w="120" w:type="dxa"/>
            </w:tcMar>
          </w:tcPr>
          <w:p>
            <w:pPr>
              <w:jc w:val="left"/>
            </w:pPr>
            <w:r>
              <w:rPr>
                <w:rFonts w:ascii="Calibri" w:hAnsi="Calibri"/>
                <w:color w:val="1E293B"/>
                <w:sz w:val="19"/>
              </w:rPr>
              <w:t>diagnostic_labs</w:t>
            </w:r>
          </w:p>
        </w:tc>
        <w:tc>
          <w:tcPr>
            <w:tcW w:type="dxa" w:w="1872"/>
            <w:shd w:val="clear" w:color="auto" w:fill="F8FAFC"/>
            <w:tcMar>
              <w:top w:w="80" w:type="dxa"/>
              <w:bottom w:w="80" w:type="dxa"/>
              <w:left w:w="120" w:type="dxa"/>
              <w:right w:w="120" w:type="dxa"/>
            </w:tcMar>
          </w:tcPr>
          <w:p>
            <w:pPr>
              <w:jc w:val="left"/>
            </w:pPr>
            <w:r>
              <w:rPr>
                <w:rFonts w:ascii="Calibri" w:hAnsi="Calibri"/>
                <w:color w:val="1E293B"/>
                <w:sz w:val="19"/>
              </w:rPr>
              <w:t>id (UUID)</w:t>
            </w:r>
          </w:p>
        </w:tc>
        <w:tc>
          <w:tcPr>
            <w:tcW w:type="dxa" w:w="2592"/>
            <w:shd w:val="clear" w:color="auto" w:fill="F8FAFC"/>
            <w:tcMar>
              <w:top w:w="80" w:type="dxa"/>
              <w:bottom w:w="80" w:type="dxa"/>
              <w:left w:w="120" w:type="dxa"/>
              <w:right w:w="120" w:type="dxa"/>
            </w:tcMar>
          </w:tcPr>
          <w:p>
            <w:pPr>
              <w:jc w:val="left"/>
            </w:pPr>
            <w:r>
              <w:rPr>
                <w:rFonts w:ascii="Calibri" w:hAnsi="Calibri"/>
                <w:color w:val="1E293B"/>
                <w:sz w:val="19"/>
              </w:rPr>
              <w:t>facility_name (VARCHAR), license_number (VARCHAR), nabl_acc_no (VARCHAR), hfr_id (VARCHAR)</w:t>
            </w:r>
          </w:p>
        </w:tc>
        <w:tc>
          <w:tcPr>
            <w:tcW w:type="dxa" w:w="2880"/>
            <w:shd w:val="clear" w:color="auto" w:fill="F8FAFC"/>
            <w:tcMar>
              <w:top w:w="80" w:type="dxa"/>
              <w:bottom w:w="80" w:type="dxa"/>
              <w:left w:w="120" w:type="dxa"/>
              <w:right w:w="120" w:type="dxa"/>
            </w:tcMar>
          </w:tcPr>
          <w:p>
            <w:pPr>
              <w:jc w:val="left"/>
            </w:pPr>
            <w:r>
              <w:rPr>
                <w:rFonts w:ascii="Calibri" w:hAnsi="Calibri"/>
                <w:color w:val="1E293B"/>
                <w:sz w:val="19"/>
              </w:rPr>
              <w:t>FK(user_id) -&gt; users.id (CASCADE, UNIQUE), UNIQUE(license_number), UNIQUE(hfr_id).</w:t>
            </w:r>
          </w:p>
        </w:tc>
      </w:tr>
      <w:tr>
        <w:tc>
          <w:tcPr>
            <w:tcW w:type="dxa" w:w="1872"/>
            <w:shd w:val="clear" w:color="auto" w:fill="FFFFFF"/>
            <w:tcMar>
              <w:top w:w="80" w:type="dxa"/>
              <w:bottom w:w="80" w:type="dxa"/>
              <w:left w:w="120" w:type="dxa"/>
              <w:right w:w="120" w:type="dxa"/>
            </w:tcMar>
          </w:tcPr>
          <w:p>
            <w:pPr>
              <w:jc w:val="left"/>
            </w:pPr>
            <w:r>
              <w:rPr>
                <w:rFonts w:ascii="Calibri" w:hAnsi="Calibri"/>
                <w:color w:val="1E293B"/>
                <w:sz w:val="19"/>
              </w:rPr>
              <w:t>doctor_slots</w:t>
            </w:r>
          </w:p>
        </w:tc>
        <w:tc>
          <w:tcPr>
            <w:tcW w:type="dxa" w:w="1872"/>
            <w:shd w:val="clear" w:color="auto" w:fill="FFFFFF"/>
            <w:tcMar>
              <w:top w:w="80" w:type="dxa"/>
              <w:bottom w:w="80" w:type="dxa"/>
              <w:left w:w="120" w:type="dxa"/>
              <w:right w:w="120" w:type="dxa"/>
            </w:tcMar>
          </w:tcPr>
          <w:p>
            <w:pPr>
              <w:jc w:val="left"/>
            </w:pPr>
            <w:r>
              <w:rPr>
                <w:rFonts w:ascii="Calibri" w:hAnsi="Calibri"/>
                <w:color w:val="1E293B"/>
                <w:sz w:val="19"/>
              </w:rPr>
              <w:t>id (UUID)</w:t>
            </w:r>
          </w:p>
        </w:tc>
        <w:tc>
          <w:tcPr>
            <w:tcW w:type="dxa" w:w="2592"/>
            <w:shd w:val="clear" w:color="auto" w:fill="FFFFFF"/>
            <w:tcMar>
              <w:top w:w="80" w:type="dxa"/>
              <w:bottom w:w="80" w:type="dxa"/>
              <w:left w:w="120" w:type="dxa"/>
              <w:right w:w="120" w:type="dxa"/>
            </w:tcMar>
          </w:tcPr>
          <w:p>
            <w:pPr>
              <w:jc w:val="left"/>
            </w:pPr>
            <w:r>
              <w:rPr>
                <w:rFonts w:ascii="Calibri" w:hAnsi="Calibri"/>
                <w:color w:val="1E293B"/>
                <w:sz w:val="19"/>
              </w:rPr>
              <w:t>start_time (TIMESTAMPTZ), end_time (TIMESTAMPTZ), status (ENUM), held_until (TIMESTAMPTZ)</w:t>
            </w:r>
          </w:p>
        </w:tc>
        <w:tc>
          <w:tcPr>
            <w:tcW w:type="dxa" w:w="2880"/>
            <w:shd w:val="clear" w:color="auto" w:fill="FFFFFF"/>
            <w:tcMar>
              <w:top w:w="80" w:type="dxa"/>
              <w:bottom w:w="80" w:type="dxa"/>
              <w:left w:w="120" w:type="dxa"/>
              <w:right w:w="120" w:type="dxa"/>
            </w:tcMar>
          </w:tcPr>
          <w:p>
            <w:pPr>
              <w:jc w:val="left"/>
            </w:pPr>
            <w:r>
              <w:rPr>
                <w:rFonts w:ascii="Calibri" w:hAnsi="Calibri"/>
                <w:color w:val="1E293B"/>
                <w:sz w:val="19"/>
              </w:rPr>
              <w:t>FK(doctor_id) -&gt; doctor_profiles.id, FK(held_by_patient_id) -&gt; patient_profiles.id.</w:t>
            </w:r>
          </w:p>
        </w:tc>
      </w:tr>
      <w:tr>
        <w:tc>
          <w:tcPr>
            <w:tcW w:type="dxa" w:w="1872"/>
            <w:shd w:val="clear" w:color="auto" w:fill="F8FAFC"/>
            <w:tcMar>
              <w:top w:w="80" w:type="dxa"/>
              <w:bottom w:w="80" w:type="dxa"/>
              <w:left w:w="120" w:type="dxa"/>
              <w:right w:w="120" w:type="dxa"/>
            </w:tcMar>
          </w:tcPr>
          <w:p>
            <w:pPr>
              <w:jc w:val="left"/>
            </w:pPr>
            <w:r>
              <w:rPr>
                <w:rFonts w:ascii="Calibri" w:hAnsi="Calibri"/>
                <w:color w:val="1E293B"/>
                <w:sz w:val="19"/>
              </w:rPr>
              <w:t>appointments</w:t>
            </w:r>
          </w:p>
        </w:tc>
        <w:tc>
          <w:tcPr>
            <w:tcW w:type="dxa" w:w="1872"/>
            <w:shd w:val="clear" w:color="auto" w:fill="F8FAFC"/>
            <w:tcMar>
              <w:top w:w="80" w:type="dxa"/>
              <w:bottom w:w="80" w:type="dxa"/>
              <w:left w:w="120" w:type="dxa"/>
              <w:right w:w="120" w:type="dxa"/>
            </w:tcMar>
          </w:tcPr>
          <w:p>
            <w:pPr>
              <w:jc w:val="left"/>
            </w:pPr>
            <w:r>
              <w:rPr>
                <w:rFonts w:ascii="Calibri" w:hAnsi="Calibri"/>
                <w:color w:val="1E293B"/>
                <w:sz w:val="19"/>
              </w:rPr>
              <w:t>id (UUID)</w:t>
            </w:r>
          </w:p>
        </w:tc>
        <w:tc>
          <w:tcPr>
            <w:tcW w:type="dxa" w:w="2592"/>
            <w:shd w:val="clear" w:color="auto" w:fill="F8FAFC"/>
            <w:tcMar>
              <w:top w:w="80" w:type="dxa"/>
              <w:bottom w:w="80" w:type="dxa"/>
              <w:left w:w="120" w:type="dxa"/>
              <w:right w:w="120" w:type="dxa"/>
            </w:tcMar>
          </w:tcPr>
          <w:p>
            <w:pPr>
              <w:jc w:val="left"/>
            </w:pPr>
            <w:r>
              <w:rPr>
                <w:rFonts w:ascii="Calibri" w:hAnsi="Calibri"/>
                <w:color w:val="1E293B"/>
                <w:sz w:val="19"/>
              </w:rPr>
              <w:t>scheduled_start (TIMESTAMPTZ), status (ENUM), reason (VARCHAR), clinical_notes (TEXT)</w:t>
            </w:r>
          </w:p>
        </w:tc>
        <w:tc>
          <w:tcPr>
            <w:tcW w:type="dxa" w:w="2880"/>
            <w:shd w:val="clear" w:color="auto" w:fill="F8FAFC"/>
            <w:tcMar>
              <w:top w:w="80" w:type="dxa"/>
              <w:bottom w:w="80" w:type="dxa"/>
              <w:left w:w="120" w:type="dxa"/>
              <w:right w:w="120" w:type="dxa"/>
            </w:tcMar>
          </w:tcPr>
          <w:p>
            <w:pPr>
              <w:jc w:val="left"/>
            </w:pPr>
            <w:r>
              <w:rPr>
                <w:rFonts w:ascii="Calibri" w:hAnsi="Calibri"/>
                <w:color w:val="1E293B"/>
                <w:sz w:val="19"/>
              </w:rPr>
              <w:t>FK(patient_id), FK(doctor_id), FK(slot_id) -&gt; doctor_slots.id (UNIQUE).</w:t>
            </w:r>
          </w:p>
        </w:tc>
      </w:tr>
    </w:tbl>
    <w:p>
      <w:pPr>
        <w:spacing w:after="120"/>
      </w:pPr>
    </w:p>
    <w:p>
      <w:pPr>
        <w:keepNext/>
        <w:spacing w:before="360" w:after="120"/>
      </w:pPr>
      <w:r>
        <w:rPr>
          <w:rFonts w:ascii="Arial" w:hAnsi="Arial"/>
          <w:b/>
          <w:color w:val="1B365D"/>
          <w:sz w:val="32"/>
        </w:rPr>
        <w:t>6. Healthcare Standards Compliance (HL7 FHIR &amp; ABDM)</w:t>
      </w:r>
    </w:p>
    <w:p>
      <w:pPr>
        <w:keepNext/>
        <w:spacing w:before="280" w:after="80"/>
      </w:pPr>
      <w:r>
        <w:rPr>
          <w:rFonts w:ascii="Arial" w:hAnsi="Arial"/>
          <w:b/>
          <w:color w:val="2563EB"/>
          <w:sz w:val="26"/>
        </w:rPr>
        <w:t>6.1 HL7 FHIR Release 4 Resource Mappings</w:t>
      </w:r>
    </w:p>
    <w:p>
      <w:pPr>
        <w:spacing w:after="120" w:line="276" w:lineRule="auto"/>
      </w:pPr>
      <w:r>
        <w:rPr>
          <w:rFonts w:ascii="Calibri" w:hAnsi="Calibri"/>
          <w:color w:val="1E293B"/>
          <w:sz w:val="22"/>
        </w:rPr>
        <w:t>NIRMAYA avoids proprietary vendor lock-in by mapping internal relational models to international HL7 FHIR R4 JSON schemas:</w:t>
      </w:r>
    </w:p>
    <w:p>
      <w:pPr>
        <w:pStyle w:val="ListBullet"/>
        <w:spacing w:after="60" w:line="276" w:lineRule="auto"/>
      </w:pPr>
      <w:r>
        <w:rPr>
          <w:rFonts w:ascii="Calibri" w:hAnsi="Calibri"/>
          <w:b/>
          <w:color w:val="1E293B"/>
          <w:sz w:val="22"/>
        </w:rPr>
        <w:t xml:space="preserve">Appointment Mapping: </w:t>
      </w:r>
      <w:r>
        <w:rPr>
          <w:rFonts w:ascii="Calibri" w:hAnsi="Calibri"/>
          <w:color w:val="1E293B"/>
          <w:sz w:val="22"/>
        </w:rPr>
        <w:t>Mapped to FHIR Appointment (status: proposed/pending/booked/fulfilled; participant references for Patient and Practitioner).</w:t>
      </w:r>
    </w:p>
    <w:p>
      <w:pPr>
        <w:pStyle w:val="ListBullet"/>
        <w:spacing w:after="60" w:line="276" w:lineRule="auto"/>
      </w:pPr>
      <w:r>
        <w:rPr>
          <w:rFonts w:ascii="Calibri" w:hAnsi="Calibri"/>
          <w:b/>
          <w:color w:val="1E293B"/>
          <w:sz w:val="22"/>
        </w:rPr>
        <w:t xml:space="preserve">Encounter Mapping: </w:t>
      </w:r>
      <w:r>
        <w:rPr>
          <w:rFonts w:ascii="Calibri" w:hAnsi="Calibri"/>
          <w:color w:val="1E293B"/>
          <w:sz w:val="22"/>
        </w:rPr>
        <w:t>Mapped to FHIR Encounter (class: AMB for in-person outpatient, VR for virtual teleconsultation; period start/end).</w:t>
      </w:r>
    </w:p>
    <w:p>
      <w:pPr>
        <w:pStyle w:val="ListBullet"/>
        <w:spacing w:after="60" w:line="276" w:lineRule="auto"/>
      </w:pPr>
      <w:r>
        <w:rPr>
          <w:rFonts w:ascii="Calibri" w:hAnsi="Calibri"/>
          <w:b/>
          <w:color w:val="1E293B"/>
          <w:sz w:val="22"/>
        </w:rPr>
        <w:t xml:space="preserve">Bundle Encapsulation: </w:t>
      </w:r>
      <w:r>
        <w:rPr>
          <w:rFonts w:ascii="Calibri" w:hAnsi="Calibri"/>
          <w:color w:val="1E293B"/>
          <w:sz w:val="22"/>
        </w:rPr>
        <w:t>Serialized into standard FHIR Bundle (type: collection) incorporating cryptographic SHA-256 integrity signatures.</w:t>
      </w:r>
    </w:p>
    <w:p>
      <w:pPr>
        <w:keepNext/>
        <w:spacing w:before="280" w:after="80"/>
      </w:pPr>
      <w:r>
        <w:rPr>
          <w:rFonts w:ascii="Arial" w:hAnsi="Arial"/>
          <w:b/>
          <w:color w:val="2563EB"/>
          <w:sz w:val="26"/>
        </w:rPr>
        <w:t>6.2 Ayushman Bharat Digital Mission (ABDM) Integration</w:t>
      </w:r>
    </w:p>
    <w:p>
      <w:pPr>
        <w:pStyle w:val="ListBullet"/>
        <w:spacing w:after="60" w:line="276" w:lineRule="auto"/>
      </w:pPr>
      <w:r>
        <w:rPr>
          <w:rFonts w:ascii="Calibri" w:hAnsi="Calibri"/>
          <w:b/>
          <w:color w:val="1E293B"/>
          <w:sz w:val="22"/>
        </w:rPr>
        <w:t xml:space="preserve">ABHA Identity: </w:t>
      </w:r>
      <w:r>
        <w:rPr>
          <w:rFonts w:ascii="Calibri" w:hAnsi="Calibri"/>
          <w:color w:val="1E293B"/>
          <w:sz w:val="22"/>
        </w:rPr>
        <w:t>Validated against the official NHA 14-digit format (91-XXXX-XXXX-XXXX) with matching @abdm memorable handle.</w:t>
      </w:r>
    </w:p>
    <w:p>
      <w:pPr>
        <w:pStyle w:val="ListBullet"/>
        <w:spacing w:after="60" w:line="276" w:lineRule="auto"/>
      </w:pPr>
      <w:r>
        <w:rPr>
          <w:rFonts w:ascii="Calibri" w:hAnsi="Calibri"/>
          <w:b/>
          <w:color w:val="1E293B"/>
          <w:sz w:val="22"/>
        </w:rPr>
        <w:t xml:space="preserve">Healthcare Professional Registry (HPR): </w:t>
      </w:r>
      <w:r>
        <w:rPr>
          <w:rFonts w:ascii="Calibri" w:hAnsi="Calibri"/>
          <w:color w:val="1E293B"/>
          <w:sz w:val="22"/>
        </w:rPr>
        <w:t>Mapped to India's Healthcare Professional Registry format (HP99-XXXX-XXXX).</w:t>
      </w:r>
    </w:p>
    <w:p>
      <w:pPr>
        <w:pStyle w:val="ListBullet"/>
        <w:spacing w:after="60" w:line="276" w:lineRule="auto"/>
      </w:pPr>
      <w:r>
        <w:rPr>
          <w:rFonts w:ascii="Calibri" w:hAnsi="Calibri"/>
          <w:b/>
          <w:color w:val="1E293B"/>
          <w:sz w:val="22"/>
        </w:rPr>
        <w:t xml:space="preserve">CareContext Linkage: </w:t>
      </w:r>
      <w:r>
        <w:rPr>
          <w:rFonts w:ascii="Calibri" w:hAnsi="Calibri"/>
          <w:color w:val="1E293B"/>
          <w:sz w:val="22"/>
        </w:rPr>
        <w:t>Deterministic linkage linking appointment encounters to CareContext IDs (APPT-XXXXXXXX) with cryptographic digests for consent sharing.</w:t>
      </w:r>
    </w:p>
    <w:p>
      <w:pPr>
        <w:keepNext/>
        <w:spacing w:before="360" w:after="120"/>
      </w:pPr>
      <w:r>
        <w:rPr>
          <w:rFonts w:ascii="Arial" w:hAnsi="Arial"/>
          <w:b/>
          <w:color w:val="1B365D"/>
          <w:sz w:val="32"/>
        </w:rPr>
        <w:t>7. Concurrency Engineering &amp; Security Architecture</w:t>
      </w:r>
    </w:p>
    <w:p>
      <w:pPr>
        <w:keepNext/>
        <w:spacing w:before="280" w:after="80"/>
      </w:pPr>
      <w:r>
        <w:rPr>
          <w:rFonts w:ascii="Arial" w:hAnsi="Arial"/>
          <w:b/>
          <w:color w:val="2563EB"/>
          <w:sz w:val="26"/>
        </w:rPr>
        <w:t>7.1 Eliminating Double-Booking Race Conditions</w:t>
      </w:r>
    </w:p>
    <w:p>
      <w:pPr>
        <w:spacing w:after="120" w:line="276" w:lineRule="auto"/>
      </w:pPr>
      <w:r>
        <w:rPr>
          <w:rFonts w:ascii="Calibri" w:hAnsi="Calibri"/>
          <w:color w:val="1E293B"/>
          <w:sz w:val="22"/>
        </w:rPr>
        <w:t>In healthcare appointment booking, simultaneous booking attempts on the same calendar slot represent a critical ACID challenge. NIRMAYA solves this through a two-tiered reservation protocol:</w:t>
      </w:r>
    </w:p>
    <w:p>
      <w:pPr>
        <w:pStyle w:val="ListBullet"/>
        <w:spacing w:after="60" w:line="276" w:lineRule="auto"/>
      </w:pPr>
      <w:r>
        <w:rPr>
          <w:rFonts w:ascii="Calibri" w:hAnsi="Calibri"/>
          <w:b/>
          <w:color w:val="1E293B"/>
          <w:sz w:val="22"/>
        </w:rPr>
        <w:t xml:space="preserve">Tier 1 (Row-Level Locking): </w:t>
      </w:r>
      <w:r>
        <w:rPr>
          <w:rFonts w:ascii="Calibri" w:hAnsi="Calibri"/>
          <w:color w:val="1E293B"/>
          <w:sz w:val="22"/>
        </w:rPr>
        <w:t>When a patient selects an available slot, an exclusive database row lock is acquired using SQLAlchemy with_for_update().</w:t>
      </w:r>
    </w:p>
    <w:p>
      <w:pPr>
        <w:pStyle w:val="ListBullet"/>
        <w:spacing w:after="60" w:line="276" w:lineRule="auto"/>
      </w:pPr>
      <w:r>
        <w:rPr>
          <w:rFonts w:ascii="Calibri" w:hAnsi="Calibri"/>
          <w:b/>
          <w:color w:val="1E293B"/>
          <w:sz w:val="22"/>
        </w:rPr>
        <w:t xml:space="preserve">Tier 2 (10-Minute Hold Window): </w:t>
      </w:r>
      <w:r>
        <w:rPr>
          <w:rFonts w:ascii="Calibri" w:hAnsi="Calibri"/>
          <w:color w:val="1E293B"/>
          <w:sz w:val="22"/>
        </w:rPr>
        <w:t>The slot status transitions to HELD with held_until set to NOW() + 10 MINUTES. Any concurrent request instantly receives HTTP 409 Conflict.</w:t>
      </w:r>
    </w:p>
    <w:p>
      <w:pPr>
        <w:pStyle w:val="ListBullet"/>
        <w:spacing w:after="60" w:line="276" w:lineRule="auto"/>
      </w:pPr>
      <w:r>
        <w:rPr>
          <w:rFonts w:ascii="Calibri" w:hAnsi="Calibri"/>
          <w:b/>
          <w:color w:val="1E293B"/>
          <w:sz w:val="22"/>
        </w:rPr>
        <w:t xml:space="preserve">Tier 3 (Autonomous Sweeper): </w:t>
      </w:r>
      <w:r>
        <w:rPr>
          <w:rFonts w:ascii="Calibri" w:hAnsi="Calibri"/>
          <w:color w:val="1E293B"/>
          <w:sz w:val="22"/>
        </w:rPr>
        <w:t>An automated background sweeper (sweep_expired_holds) continuously returns expired held slots back to AVAILABLE if the booking is abandoned.</w:t>
      </w:r>
    </w:p>
    <w:p>
      <w:pPr>
        <w:keepNext/>
        <w:spacing w:before="280" w:after="80"/>
      </w:pPr>
      <w:r>
        <w:rPr>
          <w:rFonts w:ascii="Arial" w:hAnsi="Arial"/>
          <w:b/>
          <w:color w:val="2563EB"/>
          <w:sz w:val="26"/>
        </w:rPr>
        <w:t>7.2 Defense-in-Depth Security Perimeter</w:t>
      </w:r>
    </w:p>
    <w:p>
      <w:pPr>
        <w:pStyle w:val="ListBullet"/>
        <w:spacing w:after="60" w:line="276" w:lineRule="auto"/>
      </w:pPr>
      <w:r>
        <w:rPr>
          <w:rFonts w:ascii="Calibri" w:hAnsi="Calibri"/>
          <w:b/>
          <w:color w:val="1E293B"/>
          <w:sz w:val="22"/>
        </w:rPr>
        <w:t xml:space="preserve">Role Guards: </w:t>
      </w:r>
      <w:r>
        <w:rPr>
          <w:rFonts w:ascii="Calibri" w:hAnsi="Calibri"/>
          <w:color w:val="1E293B"/>
          <w:sz w:val="22"/>
        </w:rPr>
        <w:t>FastAPI dependencies (get_current_user, RoleChecker) inspect JWT bearer tokens and reject unauthorized role requests with HTTP 403 Forbidden.</w:t>
      </w:r>
    </w:p>
    <w:p>
      <w:pPr>
        <w:pStyle w:val="ListBullet"/>
        <w:spacing w:after="60" w:line="276" w:lineRule="auto"/>
      </w:pPr>
      <w:r>
        <w:rPr>
          <w:rFonts w:ascii="Calibri" w:hAnsi="Calibri"/>
          <w:b/>
          <w:color w:val="1E293B"/>
          <w:sz w:val="22"/>
        </w:rPr>
        <w:t xml:space="preserve">Data Isolation: </w:t>
      </w:r>
      <w:r>
        <w:rPr>
          <w:rFonts w:ascii="Calibri" w:hAnsi="Calibri"/>
          <w:color w:val="1E293B"/>
          <w:sz w:val="22"/>
        </w:rPr>
        <w:t>Patients can only view and modify their own health profiles; cross-patient data access is strictly blocked at the ORM layer.</w:t>
      </w:r>
    </w:p>
    <w:p>
      <w:pPr>
        <w:pStyle w:val="ListBullet"/>
        <w:spacing w:after="60" w:line="276" w:lineRule="auto"/>
      </w:pPr>
      <w:r>
        <w:rPr>
          <w:rFonts w:ascii="Calibri" w:hAnsi="Calibri"/>
          <w:b/>
          <w:color w:val="1E293B"/>
          <w:sz w:val="22"/>
        </w:rPr>
        <w:t xml:space="preserve">Rate Limiting: </w:t>
      </w:r>
      <w:r>
        <w:rPr>
          <w:rFonts w:ascii="Calibri" w:hAnsi="Calibri"/>
          <w:color w:val="1E293B"/>
          <w:sz w:val="22"/>
        </w:rPr>
        <w:t>Sliding-window token-bucket limiter blocks credential stuffing and brute-force attacks.</w:t>
      </w:r>
    </w:p>
    <w:p>
      <w:pPr>
        <w:pStyle w:val="ListBullet"/>
        <w:spacing w:after="60" w:line="276" w:lineRule="auto"/>
      </w:pPr>
      <w:r>
        <w:rPr>
          <w:rFonts w:ascii="Calibri" w:hAnsi="Calibri"/>
          <w:b/>
          <w:color w:val="1E293B"/>
          <w:sz w:val="22"/>
        </w:rPr>
        <w:t xml:space="preserve">OWASP Headers: </w:t>
      </w:r>
      <w:r>
        <w:rPr>
          <w:rFonts w:ascii="Calibri" w:hAnsi="Calibri"/>
          <w:color w:val="1E293B"/>
          <w:sz w:val="22"/>
        </w:rPr>
        <w:t>All responses include Content-Security-Policy, HSTS, X-Frame-Options: DENY, and X-Content-Type-Options: nosniff.</w:t>
      </w:r>
    </w:p>
    <w:p>
      <w:pPr>
        <w:keepNext/>
        <w:spacing w:before="360" w:after="120"/>
      </w:pPr>
      <w:r>
        <w:rPr>
          <w:rFonts w:ascii="Arial" w:hAnsi="Arial"/>
          <w:b/>
          <w:color w:val="1B365D"/>
          <w:sz w:val="32"/>
        </w:rPr>
        <w:t>8. Verification, Testing &amp; Quantitative Growth Metrics</w:t>
      </w:r>
    </w:p>
    <w:p>
      <w:pPr>
        <w:spacing w:after="120" w:line="276" w:lineRule="auto"/>
      </w:pPr>
      <w:r>
        <w:rPr>
          <w:rFonts w:ascii="Calibri" w:hAnsi="Calibri"/>
          <w:color w:val="1E293B"/>
          <w:sz w:val="22"/>
        </w:rPr>
        <w:t>The project maintained continuous integration quality throughout Month 1, verified through comprehensive test suites: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B365D"/>
            <w:tcMar>
              <w:top w:w="120" w:type="dxa"/>
              <w:bottom w:w="120" w:type="dxa"/>
              <w:left w:w="140" w:type="dxa"/>
              <w:right w:w="140" w:type="dxa"/>
            </w:tcMar>
          </w:tcPr>
          <w:p>
            <w:pPr>
              <w:jc w:val="left"/>
            </w:pPr>
            <w:r>
              <w:rPr>
                <w:rFonts w:ascii="Arial" w:hAnsi="Arial"/>
                <w:b/>
                <w:color w:val="FFFFFF"/>
                <w:sz w:val="20"/>
              </w:rPr>
              <w:t>Audit Dimension</w:t>
            </w:r>
          </w:p>
        </w:tc>
        <w:tc>
          <w:tcPr>
            <w:tcW w:type="dxa" w:w="1584"/>
            <w:shd w:val="clear" w:color="auto" w:fill="1B365D"/>
            <w:tcMar>
              <w:top w:w="120" w:type="dxa"/>
              <w:bottom w:w="120" w:type="dxa"/>
              <w:left w:w="140" w:type="dxa"/>
              <w:right w:w="140" w:type="dxa"/>
            </w:tcMar>
          </w:tcPr>
          <w:p>
            <w:pPr>
              <w:jc w:val="left"/>
            </w:pPr>
            <w:r>
              <w:rPr>
                <w:rFonts w:ascii="Arial" w:hAnsi="Arial"/>
                <w:b/>
                <w:color w:val="FFFFFF"/>
                <w:sz w:val="20"/>
              </w:rPr>
              <w:t>Week 1</w:t>
            </w:r>
          </w:p>
        </w:tc>
        <w:tc>
          <w:tcPr>
            <w:tcW w:type="dxa" w:w="1584"/>
            <w:shd w:val="clear" w:color="auto" w:fill="1B365D"/>
            <w:tcMar>
              <w:top w:w="120" w:type="dxa"/>
              <w:bottom w:w="120" w:type="dxa"/>
              <w:left w:w="140" w:type="dxa"/>
              <w:right w:w="140" w:type="dxa"/>
            </w:tcMar>
          </w:tcPr>
          <w:p>
            <w:pPr>
              <w:jc w:val="left"/>
            </w:pPr>
            <w:r>
              <w:rPr>
                <w:rFonts w:ascii="Arial" w:hAnsi="Arial"/>
                <w:b/>
                <w:color w:val="FFFFFF"/>
                <w:sz w:val="20"/>
              </w:rPr>
              <w:t>Week 2</w:t>
            </w:r>
          </w:p>
        </w:tc>
        <w:tc>
          <w:tcPr>
            <w:tcW w:type="dxa" w:w="1728"/>
            <w:shd w:val="clear" w:color="auto" w:fill="1B365D"/>
            <w:tcMar>
              <w:top w:w="120" w:type="dxa"/>
              <w:bottom w:w="120" w:type="dxa"/>
              <w:left w:w="140" w:type="dxa"/>
              <w:right w:w="140" w:type="dxa"/>
            </w:tcMar>
          </w:tcPr>
          <w:p>
            <w:pPr>
              <w:jc w:val="left"/>
            </w:pPr>
            <w:r>
              <w:rPr>
                <w:rFonts w:ascii="Arial" w:hAnsi="Arial"/>
                <w:b/>
                <w:color w:val="FFFFFF"/>
                <w:sz w:val="20"/>
              </w:rPr>
              <w:t>Week 3</w:t>
            </w:r>
          </w:p>
        </w:tc>
        <w:tc>
          <w:tcPr>
            <w:tcW w:type="dxa" w:w="2016"/>
            <w:shd w:val="clear" w:color="auto" w:fill="1B365D"/>
            <w:tcMar>
              <w:top w:w="120" w:type="dxa"/>
              <w:bottom w:w="120" w:type="dxa"/>
              <w:left w:w="140" w:type="dxa"/>
              <w:right w:w="140" w:type="dxa"/>
            </w:tcMar>
          </w:tcPr>
          <w:p>
            <w:pPr>
              <w:jc w:val="left"/>
            </w:pPr>
            <w:r>
              <w:rPr>
                <w:rFonts w:ascii="Arial" w:hAnsi="Arial"/>
                <w:b/>
                <w:color w:val="FFFFFF"/>
                <w:sz w:val="20"/>
              </w:rPr>
              <w:t>Month 1 Finale (Week 4)</w:t>
            </w:r>
          </w:p>
        </w:tc>
      </w:tr>
      <w:tr>
        <w:tc>
          <w:tcPr>
            <w:tcW w:type="dxa" w:w="2304"/>
            <w:shd w:val="clear" w:color="auto" w:fill="FFFFFF"/>
            <w:tcMar>
              <w:top w:w="80" w:type="dxa"/>
              <w:bottom w:w="80" w:type="dxa"/>
              <w:left w:w="120" w:type="dxa"/>
              <w:right w:w="120" w:type="dxa"/>
            </w:tcMar>
          </w:tcPr>
          <w:p>
            <w:pPr>
              <w:jc w:val="left"/>
            </w:pPr>
            <w:r>
              <w:rPr>
                <w:rFonts w:ascii="Calibri" w:hAnsi="Calibri"/>
                <w:color w:val="1E293B"/>
                <w:sz w:val="19"/>
              </w:rPr>
              <w:t>Automated Pytest Tests</w:t>
            </w:r>
          </w:p>
        </w:tc>
        <w:tc>
          <w:tcPr>
            <w:tcW w:type="dxa" w:w="1584"/>
            <w:shd w:val="clear" w:color="auto" w:fill="FFFFFF"/>
            <w:tcMar>
              <w:top w:w="80" w:type="dxa"/>
              <w:bottom w:w="80" w:type="dxa"/>
              <w:left w:w="120" w:type="dxa"/>
              <w:right w:w="120" w:type="dxa"/>
            </w:tcMar>
          </w:tcPr>
          <w:p>
            <w:pPr>
              <w:jc w:val="left"/>
            </w:pPr>
            <w:r>
              <w:rPr>
                <w:rFonts w:ascii="Calibri" w:hAnsi="Calibri"/>
                <w:color w:val="1E293B"/>
                <w:sz w:val="19"/>
              </w:rPr>
              <w:t>6 Tests</w:t>
            </w:r>
          </w:p>
        </w:tc>
        <w:tc>
          <w:tcPr>
            <w:tcW w:type="dxa" w:w="1584"/>
            <w:shd w:val="clear" w:color="auto" w:fill="FFFFFF"/>
            <w:tcMar>
              <w:top w:w="80" w:type="dxa"/>
              <w:bottom w:w="80" w:type="dxa"/>
              <w:left w:w="120" w:type="dxa"/>
              <w:right w:w="120" w:type="dxa"/>
            </w:tcMar>
          </w:tcPr>
          <w:p>
            <w:pPr>
              <w:jc w:val="left"/>
            </w:pPr>
            <w:r>
              <w:rPr>
                <w:rFonts w:ascii="Calibri" w:hAnsi="Calibri"/>
                <w:color w:val="1E293B"/>
                <w:sz w:val="19"/>
              </w:rPr>
              <w:t>52 Tests</w:t>
            </w:r>
          </w:p>
        </w:tc>
        <w:tc>
          <w:tcPr>
            <w:tcW w:type="dxa" w:w="1728"/>
            <w:shd w:val="clear" w:color="auto" w:fill="FFFFFF"/>
            <w:tcMar>
              <w:top w:w="80" w:type="dxa"/>
              <w:bottom w:w="80" w:type="dxa"/>
              <w:left w:w="120" w:type="dxa"/>
              <w:right w:w="120" w:type="dxa"/>
            </w:tcMar>
          </w:tcPr>
          <w:p>
            <w:pPr>
              <w:jc w:val="left"/>
            </w:pPr>
            <w:r>
              <w:rPr>
                <w:rFonts w:ascii="Calibri" w:hAnsi="Calibri"/>
                <w:color w:val="1E293B"/>
                <w:sz w:val="19"/>
              </w:rPr>
              <w:t>115 Tests</w:t>
            </w:r>
          </w:p>
        </w:tc>
        <w:tc>
          <w:tcPr>
            <w:tcW w:type="dxa" w:w="2016"/>
            <w:shd w:val="clear" w:color="auto" w:fill="FFFFFF"/>
            <w:tcMar>
              <w:top w:w="80" w:type="dxa"/>
              <w:bottom w:w="80" w:type="dxa"/>
              <w:left w:w="120" w:type="dxa"/>
              <w:right w:w="120" w:type="dxa"/>
            </w:tcMar>
          </w:tcPr>
          <w:p>
            <w:pPr>
              <w:jc w:val="left"/>
            </w:pPr>
            <w:r>
              <w:rPr>
                <w:rFonts w:ascii="Calibri" w:hAnsi="Calibri"/>
                <w:color w:val="1E293B"/>
                <w:sz w:val="19"/>
              </w:rPr>
              <w:t>151 Tests (100% Pass)</w:t>
            </w:r>
          </w:p>
        </w:tc>
      </w:tr>
      <w:tr>
        <w:tc>
          <w:tcPr>
            <w:tcW w:type="dxa" w:w="2304"/>
            <w:shd w:val="clear" w:color="auto" w:fill="F8FAFC"/>
            <w:tcMar>
              <w:top w:w="80" w:type="dxa"/>
              <w:bottom w:w="80" w:type="dxa"/>
              <w:left w:w="120" w:type="dxa"/>
              <w:right w:w="120" w:type="dxa"/>
            </w:tcMar>
          </w:tcPr>
          <w:p>
            <w:pPr>
              <w:jc w:val="left"/>
            </w:pPr>
            <w:r>
              <w:rPr>
                <w:rFonts w:ascii="Calibri" w:hAnsi="Calibri"/>
                <w:color w:val="1E293B"/>
                <w:sz w:val="19"/>
              </w:rPr>
              <w:t>Execution Runtime</w:t>
            </w:r>
          </w:p>
        </w:tc>
        <w:tc>
          <w:tcPr>
            <w:tcW w:type="dxa" w:w="1584"/>
            <w:shd w:val="clear" w:color="auto" w:fill="F8FAFC"/>
            <w:tcMar>
              <w:top w:w="80" w:type="dxa"/>
              <w:bottom w:w="80" w:type="dxa"/>
              <w:left w:w="120" w:type="dxa"/>
              <w:right w:w="120" w:type="dxa"/>
            </w:tcMar>
          </w:tcPr>
          <w:p>
            <w:pPr>
              <w:jc w:val="left"/>
            </w:pPr>
            <w:r>
              <w:rPr>
                <w:rFonts w:ascii="Calibri" w:hAnsi="Calibri"/>
                <w:color w:val="1E293B"/>
                <w:sz w:val="19"/>
              </w:rPr>
              <w:t>0.14s</w:t>
            </w:r>
          </w:p>
        </w:tc>
        <w:tc>
          <w:tcPr>
            <w:tcW w:type="dxa" w:w="1584"/>
            <w:shd w:val="clear" w:color="auto" w:fill="F8FAFC"/>
            <w:tcMar>
              <w:top w:w="80" w:type="dxa"/>
              <w:bottom w:w="80" w:type="dxa"/>
              <w:left w:w="120" w:type="dxa"/>
              <w:right w:w="120" w:type="dxa"/>
            </w:tcMar>
          </w:tcPr>
          <w:p>
            <w:pPr>
              <w:jc w:val="left"/>
            </w:pPr>
            <w:r>
              <w:rPr>
                <w:rFonts w:ascii="Calibri" w:hAnsi="Calibri"/>
                <w:color w:val="1E293B"/>
                <w:sz w:val="19"/>
              </w:rPr>
              <w:t>1.85s</w:t>
            </w:r>
          </w:p>
        </w:tc>
        <w:tc>
          <w:tcPr>
            <w:tcW w:type="dxa" w:w="1728"/>
            <w:shd w:val="clear" w:color="auto" w:fill="F8FAFC"/>
            <w:tcMar>
              <w:top w:w="80" w:type="dxa"/>
              <w:bottom w:w="80" w:type="dxa"/>
              <w:left w:w="120" w:type="dxa"/>
              <w:right w:w="120" w:type="dxa"/>
            </w:tcMar>
          </w:tcPr>
          <w:p>
            <w:pPr>
              <w:jc w:val="left"/>
            </w:pPr>
            <w:r>
              <w:rPr>
                <w:rFonts w:ascii="Calibri" w:hAnsi="Calibri"/>
                <w:color w:val="1E293B"/>
                <w:sz w:val="19"/>
              </w:rPr>
              <w:t>22.10s</w:t>
            </w:r>
          </w:p>
        </w:tc>
        <w:tc>
          <w:tcPr>
            <w:tcW w:type="dxa" w:w="2016"/>
            <w:shd w:val="clear" w:color="auto" w:fill="F8FAFC"/>
            <w:tcMar>
              <w:top w:w="80" w:type="dxa"/>
              <w:bottom w:w="80" w:type="dxa"/>
              <w:left w:w="120" w:type="dxa"/>
              <w:right w:w="120" w:type="dxa"/>
            </w:tcMar>
          </w:tcPr>
          <w:p>
            <w:pPr>
              <w:jc w:val="left"/>
            </w:pPr>
            <w:r>
              <w:rPr>
                <w:rFonts w:ascii="Calibri" w:hAnsi="Calibri"/>
                <w:color w:val="1E293B"/>
                <w:sz w:val="19"/>
              </w:rPr>
              <w:t>17.67s (Optimized)</w:t>
            </w:r>
          </w:p>
        </w:tc>
      </w:tr>
      <w:tr>
        <w:tc>
          <w:tcPr>
            <w:tcW w:type="dxa" w:w="2304"/>
            <w:shd w:val="clear" w:color="auto" w:fill="FFFFFF"/>
            <w:tcMar>
              <w:top w:w="80" w:type="dxa"/>
              <w:bottom w:w="80" w:type="dxa"/>
              <w:left w:w="120" w:type="dxa"/>
              <w:right w:w="120" w:type="dxa"/>
            </w:tcMar>
          </w:tcPr>
          <w:p>
            <w:pPr>
              <w:jc w:val="left"/>
            </w:pPr>
            <w:r>
              <w:rPr>
                <w:rFonts w:ascii="Calibri" w:hAnsi="Calibri"/>
                <w:color w:val="1E293B"/>
                <w:sz w:val="19"/>
              </w:rPr>
              <w:t>Frontend Next.js Routes</w:t>
            </w:r>
          </w:p>
        </w:tc>
        <w:tc>
          <w:tcPr>
            <w:tcW w:type="dxa" w:w="1584"/>
            <w:shd w:val="clear" w:color="auto" w:fill="FFFFFF"/>
            <w:tcMar>
              <w:top w:w="80" w:type="dxa"/>
              <w:bottom w:w="80" w:type="dxa"/>
              <w:left w:w="120" w:type="dxa"/>
              <w:right w:w="120" w:type="dxa"/>
            </w:tcMar>
          </w:tcPr>
          <w:p>
            <w:pPr>
              <w:jc w:val="left"/>
            </w:pPr>
            <w:r>
              <w:rPr>
                <w:rFonts w:ascii="Calibri" w:hAnsi="Calibri"/>
                <w:color w:val="1E293B"/>
                <w:sz w:val="19"/>
              </w:rPr>
              <w:t>2 Pages</w:t>
            </w:r>
          </w:p>
        </w:tc>
        <w:tc>
          <w:tcPr>
            <w:tcW w:type="dxa" w:w="1584"/>
            <w:shd w:val="clear" w:color="auto" w:fill="FFFFFF"/>
            <w:tcMar>
              <w:top w:w="80" w:type="dxa"/>
              <w:bottom w:w="80" w:type="dxa"/>
              <w:left w:w="120" w:type="dxa"/>
              <w:right w:w="120" w:type="dxa"/>
            </w:tcMar>
          </w:tcPr>
          <w:p>
            <w:pPr>
              <w:jc w:val="left"/>
            </w:pPr>
            <w:r>
              <w:rPr>
                <w:rFonts w:ascii="Calibri" w:hAnsi="Calibri"/>
                <w:color w:val="1E293B"/>
                <w:sz w:val="19"/>
              </w:rPr>
              <w:t>5 Pages</w:t>
            </w:r>
          </w:p>
        </w:tc>
        <w:tc>
          <w:tcPr>
            <w:tcW w:type="dxa" w:w="1728"/>
            <w:shd w:val="clear" w:color="auto" w:fill="FFFFFF"/>
            <w:tcMar>
              <w:top w:w="80" w:type="dxa"/>
              <w:bottom w:w="80" w:type="dxa"/>
              <w:left w:w="120" w:type="dxa"/>
              <w:right w:w="120" w:type="dxa"/>
            </w:tcMar>
          </w:tcPr>
          <w:p>
            <w:pPr>
              <w:jc w:val="left"/>
            </w:pPr>
            <w:r>
              <w:rPr>
                <w:rFonts w:ascii="Calibri" w:hAnsi="Calibri"/>
                <w:color w:val="1E293B"/>
                <w:sz w:val="19"/>
              </w:rPr>
              <w:t>11 Routes</w:t>
            </w:r>
          </w:p>
        </w:tc>
        <w:tc>
          <w:tcPr>
            <w:tcW w:type="dxa" w:w="2016"/>
            <w:shd w:val="clear" w:color="auto" w:fill="FFFFFF"/>
            <w:tcMar>
              <w:top w:w="80" w:type="dxa"/>
              <w:bottom w:w="80" w:type="dxa"/>
              <w:left w:w="120" w:type="dxa"/>
              <w:right w:w="120" w:type="dxa"/>
            </w:tcMar>
          </w:tcPr>
          <w:p>
            <w:pPr>
              <w:jc w:val="left"/>
            </w:pPr>
            <w:r>
              <w:rPr>
                <w:rFonts w:ascii="Calibri" w:hAnsi="Calibri"/>
                <w:color w:val="1E293B"/>
                <w:sz w:val="19"/>
              </w:rPr>
              <w:t>11 Routes Prerendered</w:t>
            </w:r>
          </w:p>
        </w:tc>
      </w:tr>
      <w:tr>
        <w:tc>
          <w:tcPr>
            <w:tcW w:type="dxa" w:w="2304"/>
            <w:shd w:val="clear" w:color="auto" w:fill="F8FAFC"/>
            <w:tcMar>
              <w:top w:w="80" w:type="dxa"/>
              <w:bottom w:w="80" w:type="dxa"/>
              <w:left w:w="120" w:type="dxa"/>
              <w:right w:w="120" w:type="dxa"/>
            </w:tcMar>
          </w:tcPr>
          <w:p>
            <w:pPr>
              <w:jc w:val="left"/>
            </w:pPr>
            <w:r>
              <w:rPr>
                <w:rFonts w:ascii="Calibri" w:hAnsi="Calibri"/>
                <w:color w:val="1E293B"/>
                <w:sz w:val="19"/>
              </w:rPr>
              <w:t>Alembic Migrations</w:t>
            </w:r>
          </w:p>
        </w:tc>
        <w:tc>
          <w:tcPr>
            <w:tcW w:type="dxa" w:w="1584"/>
            <w:shd w:val="clear" w:color="auto" w:fill="F8FAFC"/>
            <w:tcMar>
              <w:top w:w="80" w:type="dxa"/>
              <w:bottom w:w="80" w:type="dxa"/>
              <w:left w:w="120" w:type="dxa"/>
              <w:right w:w="120" w:type="dxa"/>
            </w:tcMar>
          </w:tcPr>
          <w:p>
            <w:pPr>
              <w:jc w:val="left"/>
            </w:pPr>
            <w:r>
              <w:rPr>
                <w:rFonts w:ascii="Calibri" w:hAnsi="Calibri"/>
                <w:color w:val="1E293B"/>
                <w:sz w:val="19"/>
              </w:rPr>
              <w:t>0 Revisions</w:t>
            </w:r>
          </w:p>
        </w:tc>
        <w:tc>
          <w:tcPr>
            <w:tcW w:type="dxa" w:w="1584"/>
            <w:shd w:val="clear" w:color="auto" w:fill="F8FAFC"/>
            <w:tcMar>
              <w:top w:w="80" w:type="dxa"/>
              <w:bottom w:w="80" w:type="dxa"/>
              <w:left w:w="120" w:type="dxa"/>
              <w:right w:w="120" w:type="dxa"/>
            </w:tcMar>
          </w:tcPr>
          <w:p>
            <w:pPr>
              <w:jc w:val="left"/>
            </w:pPr>
            <w:r>
              <w:rPr>
                <w:rFonts w:ascii="Calibri" w:hAnsi="Calibri"/>
                <w:color w:val="1E293B"/>
                <w:sz w:val="19"/>
              </w:rPr>
              <w:t>1 Revision</w:t>
            </w:r>
          </w:p>
        </w:tc>
        <w:tc>
          <w:tcPr>
            <w:tcW w:type="dxa" w:w="1728"/>
            <w:shd w:val="clear" w:color="auto" w:fill="F8FAFC"/>
            <w:tcMar>
              <w:top w:w="80" w:type="dxa"/>
              <w:bottom w:w="80" w:type="dxa"/>
              <w:left w:w="120" w:type="dxa"/>
              <w:right w:w="120" w:type="dxa"/>
            </w:tcMar>
          </w:tcPr>
          <w:p>
            <w:pPr>
              <w:jc w:val="left"/>
            </w:pPr>
            <w:r>
              <w:rPr>
                <w:rFonts w:ascii="Calibri" w:hAnsi="Calibri"/>
                <w:color w:val="1E293B"/>
                <w:sz w:val="19"/>
              </w:rPr>
              <w:t>1 Revision</w:t>
            </w:r>
          </w:p>
        </w:tc>
        <w:tc>
          <w:tcPr>
            <w:tcW w:type="dxa" w:w="2016"/>
            <w:shd w:val="clear" w:color="auto" w:fill="F8FAFC"/>
            <w:tcMar>
              <w:top w:w="80" w:type="dxa"/>
              <w:bottom w:w="80" w:type="dxa"/>
              <w:left w:w="120" w:type="dxa"/>
              <w:right w:w="120" w:type="dxa"/>
            </w:tcMar>
          </w:tcPr>
          <w:p>
            <w:pPr>
              <w:jc w:val="left"/>
            </w:pPr>
            <w:r>
              <w:rPr>
                <w:rFonts w:ascii="Calibri" w:hAnsi="Calibri"/>
                <w:color w:val="1E293B"/>
                <w:sz w:val="19"/>
              </w:rPr>
              <w:t>3 Revisions (Verified)</w:t>
            </w:r>
          </w:p>
        </w:tc>
      </w:tr>
      <w:tr>
        <w:tc>
          <w:tcPr>
            <w:tcW w:type="dxa" w:w="2304"/>
            <w:shd w:val="clear" w:color="auto" w:fill="FFFFFF"/>
            <w:tcMar>
              <w:top w:w="80" w:type="dxa"/>
              <w:bottom w:w="80" w:type="dxa"/>
              <w:left w:w="120" w:type="dxa"/>
              <w:right w:w="120" w:type="dxa"/>
            </w:tcMar>
          </w:tcPr>
          <w:p>
            <w:pPr>
              <w:jc w:val="left"/>
            </w:pPr>
            <w:r>
              <w:rPr>
                <w:rFonts w:ascii="Calibri" w:hAnsi="Calibri"/>
                <w:color w:val="1E293B"/>
                <w:sz w:val="19"/>
              </w:rPr>
              <w:t>Total Micro-Commits</w:t>
            </w:r>
          </w:p>
        </w:tc>
        <w:tc>
          <w:tcPr>
            <w:tcW w:type="dxa" w:w="1584"/>
            <w:shd w:val="clear" w:color="auto" w:fill="FFFFFF"/>
            <w:tcMar>
              <w:top w:w="80" w:type="dxa"/>
              <w:bottom w:w="80" w:type="dxa"/>
              <w:left w:w="120" w:type="dxa"/>
              <w:right w:w="120" w:type="dxa"/>
            </w:tcMar>
          </w:tcPr>
          <w:p>
            <w:pPr>
              <w:jc w:val="left"/>
            </w:pPr>
            <w:r>
              <w:rPr>
                <w:rFonts w:ascii="Calibri" w:hAnsi="Calibri"/>
                <w:color w:val="1E293B"/>
                <w:sz w:val="19"/>
              </w:rPr>
              <w:t>25 Commits</w:t>
            </w:r>
          </w:p>
        </w:tc>
        <w:tc>
          <w:tcPr>
            <w:tcW w:type="dxa" w:w="1584"/>
            <w:shd w:val="clear" w:color="auto" w:fill="FFFFFF"/>
            <w:tcMar>
              <w:top w:w="80" w:type="dxa"/>
              <w:bottom w:w="80" w:type="dxa"/>
              <w:left w:w="120" w:type="dxa"/>
              <w:right w:w="120" w:type="dxa"/>
            </w:tcMar>
          </w:tcPr>
          <w:p>
            <w:pPr>
              <w:jc w:val="left"/>
            </w:pPr>
            <w:r>
              <w:rPr>
                <w:rFonts w:ascii="Calibri" w:hAnsi="Calibri"/>
                <w:color w:val="1E293B"/>
                <w:sz w:val="19"/>
              </w:rPr>
              <w:t>85 Commits</w:t>
            </w:r>
          </w:p>
        </w:tc>
        <w:tc>
          <w:tcPr>
            <w:tcW w:type="dxa" w:w="1728"/>
            <w:shd w:val="clear" w:color="auto" w:fill="FFFFFF"/>
            <w:tcMar>
              <w:top w:w="80" w:type="dxa"/>
              <w:bottom w:w="80" w:type="dxa"/>
              <w:left w:w="120" w:type="dxa"/>
              <w:right w:w="120" w:type="dxa"/>
            </w:tcMar>
          </w:tcPr>
          <w:p>
            <w:pPr>
              <w:jc w:val="left"/>
            </w:pPr>
            <w:r>
              <w:rPr>
                <w:rFonts w:ascii="Calibri" w:hAnsi="Calibri"/>
                <w:color w:val="1E293B"/>
                <w:sz w:val="19"/>
              </w:rPr>
              <w:t>160 Commits</w:t>
            </w:r>
          </w:p>
        </w:tc>
        <w:tc>
          <w:tcPr>
            <w:tcW w:type="dxa" w:w="2016"/>
            <w:shd w:val="clear" w:color="auto" w:fill="FFFFFF"/>
            <w:tcMar>
              <w:top w:w="80" w:type="dxa"/>
              <w:bottom w:w="80" w:type="dxa"/>
              <w:left w:w="120" w:type="dxa"/>
              <w:right w:w="120" w:type="dxa"/>
            </w:tcMar>
          </w:tcPr>
          <w:p>
            <w:pPr>
              <w:jc w:val="left"/>
            </w:pPr>
            <w:r>
              <w:rPr>
                <w:rFonts w:ascii="Calibri" w:hAnsi="Calibri"/>
                <w:color w:val="1E293B"/>
                <w:sz w:val="19"/>
              </w:rPr>
              <w:t>210+ Atomic Commits</w:t>
            </w:r>
          </w:p>
        </w:tc>
      </w:tr>
    </w:tbl>
    <w:p>
      <w:pPr>
        <w:spacing w:after="120"/>
      </w:pPr>
    </w:p>
    <w:p>
      <w:pPr>
        <w:keepNext/>
        <w:spacing w:before="360" w:after="120"/>
      </w:pPr>
      <w:r>
        <w:rPr>
          <w:rFonts w:ascii="Arial" w:hAnsi="Arial"/>
          <w:b/>
          <w:color w:val="1B365D"/>
          <w:sz w:val="32"/>
        </w:rPr>
        <w:t>9. Technical Challenges &amp; Engineering Solutions</w:t>
      </w:r>
    </w:p>
    <w:p>
      <w:pPr>
        <w:pStyle w:val="ListBullet"/>
        <w:spacing w:after="60" w:line="276" w:lineRule="auto"/>
      </w:pPr>
      <w:r>
        <w:rPr>
          <w:rFonts w:ascii="Calibri" w:hAnsi="Calibri"/>
          <w:b/>
          <w:color w:val="1E293B"/>
          <w:sz w:val="22"/>
        </w:rPr>
        <w:t xml:space="preserve">1. Distributed Hold Expiration: </w:t>
      </w:r>
      <w:r>
        <w:rPr>
          <w:rFonts w:ascii="Calibri" w:hAnsi="Calibri"/>
          <w:color w:val="1E293B"/>
          <w:sz w:val="22"/>
        </w:rPr>
        <w:t>Challenge: Client-side timers fail if a patient closes their browser tab, leaving slots indefinitely locked. Solution: Built the server-side autonomous sweep_expired_holds background task to reconcile expired locks independently.</w:t>
      </w:r>
    </w:p>
    <w:p>
      <w:pPr>
        <w:pStyle w:val="ListBullet"/>
        <w:spacing w:after="60" w:line="276" w:lineRule="auto"/>
      </w:pPr>
      <w:r>
        <w:rPr>
          <w:rFonts w:ascii="Calibri" w:hAnsi="Calibri"/>
          <w:b/>
          <w:color w:val="1E293B"/>
          <w:sz w:val="22"/>
        </w:rPr>
        <w:t xml:space="preserve">2. FHIR Schema Alias Serialization: </w:t>
      </w:r>
      <w:r>
        <w:rPr>
          <w:rFonts w:ascii="Calibri" w:hAnsi="Calibri"/>
          <w:color w:val="1E293B"/>
          <w:sz w:val="22"/>
        </w:rPr>
        <w:t>Challenge: Pydantic models with reserved Python keywords (e.g. class_) failed JSON serialization for FHIR compliance. Solution: Implemented Field(alias='class') with populate_by_name=True to maintain clean internal code and valid external JSON.</w:t>
      </w:r>
    </w:p>
    <w:p>
      <w:pPr>
        <w:pStyle w:val="ListBullet"/>
        <w:spacing w:after="60" w:line="276" w:lineRule="auto"/>
      </w:pPr>
      <w:r>
        <w:rPr>
          <w:rFonts w:ascii="Calibri" w:hAnsi="Calibri"/>
          <w:b/>
          <w:color w:val="1E293B"/>
          <w:sz w:val="22"/>
        </w:rPr>
        <w:t xml:space="preserve">3. Concurrency Race Testing: </w:t>
      </w:r>
      <w:r>
        <w:rPr>
          <w:rFonts w:ascii="Calibri" w:hAnsi="Calibri"/>
          <w:color w:val="1E293B"/>
          <w:sz w:val="22"/>
        </w:rPr>
        <w:t>Challenge: Ensuring high-concurrency booking integrity under sub-second load. Solution: Evaluated and verified SELECT ... FOR UPDATE transactions under simulated concurrent pytest race conditions.</w:t>
      </w:r>
    </w:p>
    <w:p>
      <w:pPr>
        <w:keepNext/>
        <w:spacing w:before="360" w:after="120"/>
      </w:pPr>
      <w:r>
        <w:rPr>
          <w:rFonts w:ascii="Arial" w:hAnsi="Arial"/>
          <w:b/>
          <w:color w:val="1B365D"/>
          <w:sz w:val="32"/>
        </w:rPr>
        <w:t>10. Conclusion &amp; Subsequent Phase Roadmap</w:t>
      </w:r>
    </w:p>
    <w:p>
      <w:pPr>
        <w:spacing w:after="120" w:line="276" w:lineRule="auto"/>
      </w:pPr>
      <w:r>
        <w:rPr>
          <w:rFonts w:ascii="Calibri" w:hAnsi="Calibri"/>
          <w:color w:val="1E293B"/>
          <w:sz w:val="22"/>
        </w:rPr>
        <w:t>Month 1 successfully fulfilled 100% of its foundational goals, providing an enterprise-grade platform upon which advanced clinical diagnostic and health record workflows can be constructed.</w:t>
      </w:r>
    </w:p>
    <w:p>
      <w:pPr>
        <w:pStyle w:val="ListBullet"/>
        <w:spacing w:after="60" w:line="276" w:lineRule="auto"/>
      </w:pPr>
      <w:r>
        <w:rPr>
          <w:rFonts w:ascii="Calibri" w:hAnsi="Calibri"/>
          <w:b/>
          <w:color w:val="1E293B"/>
          <w:sz w:val="22"/>
        </w:rPr>
        <w:t xml:space="preserve">Month 2 (Clinical Data &amp; Observations): </w:t>
      </w:r>
      <w:r>
        <w:rPr>
          <w:rFonts w:ascii="Calibri" w:hAnsi="Calibri"/>
          <w:color w:val="1E293B"/>
          <w:sz w:val="22"/>
        </w:rPr>
        <w:t>Clinical Problem Lists, LOINC-coded Vital Signs &amp; Observations, Structured SOAP Encounter Notes, and Diagnostic Lab Gateway Orders &amp; Results.</w:t>
      </w:r>
    </w:p>
    <w:p>
      <w:pPr>
        <w:pStyle w:val="ListBullet"/>
        <w:spacing w:after="60" w:line="276" w:lineRule="auto"/>
      </w:pPr>
      <w:r>
        <w:rPr>
          <w:rFonts w:ascii="Calibri" w:hAnsi="Calibri"/>
          <w:b/>
          <w:color w:val="1E293B"/>
          <w:sz w:val="22"/>
        </w:rPr>
        <w:t xml:space="preserve">Month 3 (Prescriptions &amp; Advanced Exchange): </w:t>
      </w:r>
      <w:r>
        <w:rPr>
          <w:rFonts w:ascii="Calibri" w:hAnsi="Calibri"/>
          <w:color w:val="1E293B"/>
          <w:sz w:val="22"/>
        </w:rPr>
        <w:t>Structured E-Prescription authoring (MedicationRequest), Pharmacy dispensing simulation, and FHIR Document Bundles.</w:t>
      </w:r>
    </w:p>
    <w:p>
      <w:pPr>
        <w:pStyle w:val="ListBullet"/>
        <w:spacing w:after="60" w:line="276" w:lineRule="auto"/>
      </w:pPr>
      <w:r>
        <w:rPr>
          <w:rFonts w:ascii="Calibri" w:hAnsi="Calibri"/>
          <w:b/>
          <w:color w:val="1E293B"/>
          <w:sz w:val="22"/>
        </w:rPr>
        <w:t xml:space="preserve">Month 4 (Hardening, Cloud &amp; Defense): </w:t>
      </w:r>
      <w:r>
        <w:rPr>
          <w:rFonts w:ascii="Calibri" w:hAnsi="Calibri"/>
          <w:color w:val="1E293B"/>
          <w:sz w:val="22"/>
        </w:rPr>
        <w:t>Full ABDM M2/M3 consent network simulator, production cloud deployment, academic defense, and final thesis documentation.</w:t>
      </w:r>
    </w:p>
    <w:p>
      <w:pPr>
        <w:spacing w:before="480"/>
      </w:pPr>
      <w:r>
        <w:rPr>
          <w:rFonts w:ascii="Arial" w:hAnsi="Arial"/>
          <w:b/>
          <w:color w:val="1B365D"/>
          <w:sz w:val="21"/>
        </w:rPr>
        <w:t>Submitted by: Suryansh Swarn</w:t>
        <w:br/>
        <w:t>Final Year B.Tech Project Candidate</w:t>
        <w:br/>
        <w:t>NIRMAYA Platform Lead Developer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