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Factify judged FSR / RSR</w:t>
      </w:r>
    </w:p>
    <w:p>
      <w:r>
        <w:rPr>
          <w:sz w:val="20"/>
        </w:rPr>
        <w:t>Values are %. H = harmonic mean of overall FSR and RSR. Judge: Qwen/Qwen2.5-7B-Instruct. n=500 forget / 500 retain.</w:t>
      </w:r>
    </w:p>
    <w:p>
      <w:pPr>
        <w:pStyle w:val="Heading2"/>
      </w:pPr>
      <w:r>
        <w:t>Llama — Factify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vMerge w:val="restart"/>
          </w:tcPr>
          <w:p>
            <w:r>
              <w:rPr>
                <w:rFonts w:ascii="Calibri" w:hAnsi="Calibri"/>
                <w:sz w:val="16"/>
              </w:rPr>
              <w:t>Method</w:t>
            </w:r>
          </w:p>
        </w:tc>
        <w:tc>
          <w:tcPr>
            <w:tcW w:type="dxa" w:w="576"/>
            <w:vMerge w:val="restart"/>
          </w:tcPr>
          <w:p>
            <w:r>
              <w:rPr>
                <w:rFonts w:ascii="Calibri" w:hAnsi="Calibri"/>
                <w:sz w:val="16"/>
              </w:rPr>
              <w:t>Hyperparameters</w:t>
            </w:r>
          </w:p>
        </w:tc>
        <w:tc>
          <w:tcPr>
            <w:tcW w:type="dxa" w:w="3456"/>
            <w:gridSpan w:val="6"/>
          </w:tcPr>
          <w:p>
            <w:r>
              <w:rPr>
                <w:rFonts w:ascii="Calibri" w:hAnsi="Calibri"/>
                <w:sz w:val="16"/>
              </w:rPr>
              <w:t>FSR</w:t>
            </w:r>
          </w:p>
        </w:tc>
        <w:tc>
          <w:tcPr>
            <w:tcW w:type="dxa" w:w="3456"/>
            <w:gridSpan w:val="6"/>
          </w:tcPr>
          <w:p>
            <w:r>
              <w:rPr>
                <w:rFonts w:ascii="Calibri" w:hAnsi="Calibri"/>
                <w:sz w:val="16"/>
              </w:rPr>
              <w:t>RSR</w:t>
            </w:r>
          </w:p>
        </w:tc>
        <w:tc>
          <w:tcPr>
            <w:tcW w:type="dxa" w:w="576"/>
            <w:vMerge w:val="restart"/>
          </w:tcPr>
          <w:p>
            <w:r>
              <w:rPr>
                <w:rFonts w:ascii="Calibri" w:hAnsi="Calibri"/>
                <w:sz w:val="16"/>
              </w:rPr>
              <w:t>H</w:t>
            </w:r>
          </w:p>
        </w:tc>
      </w:tr>
      <w:tr>
        <w:tc>
          <w:tcPr>
            <w:tcW w:type="dxa" w:w="576"/>
            <w:vMerge/>
          </w:tcPr>
          <w:p/>
        </w:tc>
        <w:tc>
          <w:tcPr>
            <w:tcW w:type="dxa" w:w="576"/>
            <w:vMerge/>
          </w:tcPr>
          <w:p/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Who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What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When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Where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Why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Overall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Who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What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When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Where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Why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Overall</w:t>
            </w:r>
          </w:p>
        </w:tc>
        <w:tc>
          <w:tcPr>
            <w:tcW w:type="dxa" w:w="576"/>
            <w:vMerge/>
          </w:tcPr>
          <w:p/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GA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lr=5e-5, e=3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97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86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95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97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90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93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16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11.3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GA_KL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lr=5e-5, kl=0.1, e=3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87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77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92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92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71.6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19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100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28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40.3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AN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lr=2e-4, e=3, λ=0.5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96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98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95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99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72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92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28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8.8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16.1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RO-FT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lr=1e-4, e=3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21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24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19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33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20.6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80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88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84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74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100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85.2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33.2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NPO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lr=1e-5, β=0.1, e=3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24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14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16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19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15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17.6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94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97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89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94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99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94.6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29.7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SimNPO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lr=1e-4, β=2.5, e=3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30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27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30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37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27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87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93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83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81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100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88.8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41.4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MAAT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70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74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75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73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61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70.6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75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78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70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75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66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72.8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71.7</w:t>
            </w:r>
          </w:p>
        </w:tc>
      </w:tr>
    </w:tbl>
    <w:p>
      <w:pPr>
        <w:pStyle w:val="Heading2"/>
      </w:pPr>
      <w:r>
        <w:t>Gemma — Factify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vMerge w:val="restart"/>
          </w:tcPr>
          <w:p>
            <w:r>
              <w:rPr>
                <w:rFonts w:ascii="Calibri" w:hAnsi="Calibri"/>
                <w:sz w:val="16"/>
              </w:rPr>
              <w:t>Method</w:t>
            </w:r>
          </w:p>
        </w:tc>
        <w:tc>
          <w:tcPr>
            <w:tcW w:type="dxa" w:w="576"/>
            <w:vMerge w:val="restart"/>
          </w:tcPr>
          <w:p>
            <w:r>
              <w:rPr>
                <w:rFonts w:ascii="Calibri" w:hAnsi="Calibri"/>
                <w:sz w:val="16"/>
              </w:rPr>
              <w:t>Hyperparameters</w:t>
            </w:r>
          </w:p>
        </w:tc>
        <w:tc>
          <w:tcPr>
            <w:tcW w:type="dxa" w:w="3456"/>
            <w:gridSpan w:val="6"/>
          </w:tcPr>
          <w:p>
            <w:r>
              <w:rPr>
                <w:rFonts w:ascii="Calibri" w:hAnsi="Calibri"/>
                <w:sz w:val="16"/>
              </w:rPr>
              <w:t>FSR</w:t>
            </w:r>
          </w:p>
        </w:tc>
        <w:tc>
          <w:tcPr>
            <w:tcW w:type="dxa" w:w="3456"/>
            <w:gridSpan w:val="6"/>
          </w:tcPr>
          <w:p>
            <w:r>
              <w:rPr>
                <w:rFonts w:ascii="Calibri" w:hAnsi="Calibri"/>
                <w:sz w:val="16"/>
              </w:rPr>
              <w:t>RSR</w:t>
            </w:r>
          </w:p>
        </w:tc>
        <w:tc>
          <w:tcPr>
            <w:tcW w:type="dxa" w:w="576"/>
            <w:vMerge w:val="restart"/>
          </w:tcPr>
          <w:p>
            <w:r>
              <w:rPr>
                <w:rFonts w:ascii="Calibri" w:hAnsi="Calibri"/>
                <w:sz w:val="16"/>
              </w:rPr>
              <w:t>H</w:t>
            </w:r>
          </w:p>
        </w:tc>
      </w:tr>
      <w:tr>
        <w:tc>
          <w:tcPr>
            <w:tcW w:type="dxa" w:w="576"/>
            <w:vMerge/>
          </w:tcPr>
          <w:p/>
        </w:tc>
        <w:tc>
          <w:tcPr>
            <w:tcW w:type="dxa" w:w="576"/>
            <w:vMerge/>
          </w:tcPr>
          <w:p/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Who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What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When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Where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Why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Overall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Who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What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When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Where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Why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Overall</w:t>
            </w:r>
          </w:p>
        </w:tc>
        <w:tc>
          <w:tcPr>
            <w:tcW w:type="dxa" w:w="576"/>
            <w:vMerge/>
          </w:tcPr>
          <w:p/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GA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lr=5e-5, e=3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81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83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98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98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32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78.4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60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16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26.6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GA_KL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lr=5e-5, kl=0.1, e=3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85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56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77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60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44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64.4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55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64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38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56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71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56.8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60.4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AN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lr=2e-4, e=3, λ=0.5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81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77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81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78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53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74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33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50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25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33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59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40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51.9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RO-FT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lr=1e-4, e=3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64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40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50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38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41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46.6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91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91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72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91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95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88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60.9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NPO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lr=1e-5, β=0.1, e=3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63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35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59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34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46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47.4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78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79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50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75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72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70.8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56.8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SimNPO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lr=1e-4, β=2.5, γ=0, e=3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71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56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60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54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39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56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93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94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81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94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95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91.4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69.4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MAAT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77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61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68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59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55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64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62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69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52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70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56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61.8</w:t>
            </w:r>
          </w:p>
        </w:tc>
        <w:tc>
          <w:tcPr>
            <w:tcW w:type="dxa" w:w="576"/>
          </w:tcPr>
          <w:p>
            <w:r>
              <w:rPr>
                <w:rFonts w:ascii="Calibri" w:hAnsi="Calibri"/>
                <w:sz w:val="16"/>
              </w:rPr>
              <w:t>62.9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