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360" w:after="160"/>
      </w:pPr>
      <w:r>
        <w:rPr>
          <w:b/>
          <w:sz w:val="32"/>
          <w:color w:val="134E4A"/>
        </w:rPr>
        <w:t xml:space="preserve">Darukaa.Earth: AI Biodiversity Intelligence Chatbot Challenge</w:t>
      </w:r>
    </w:p>
    <w:p>
      <w:pPr>
        <w:spacing w:before="0" w:after="200"/>
      </w:pPr>
      <w:r>
        <w:rPr>
          <w:b/>
          <w:sz w:val="24"/>
          <w:color w:val="0F766E"/>
        </w:rPr>
        <w:t xml:space="preserve">Official Hackathon Technical Submission Document</w:t>
      </w:r>
    </w:p>
    <w:p>
      <w:pPr>
        <w:spacing w:before="0" w:after="240"/>
      </w:pPr>
      <w:r>
        <w:rPr>
          <w:i/>
          <w:sz w:val="20"/>
          <w:color w:val="64748B"/>
        </w:rPr>
        <w:t xml:space="preserve">Candidate: Suryansh Saraf | Date: September 2026</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CORE COMMITMENT &amp; OBJECTIVE</w:t>
            </w:r>
          </w:p>
          <w:p>
            <w:r>
              <w:rPr>
                <w:sz w:val="21"/>
                <w:color w:val="334155"/>
              </w:rPr>
              <w:t xml:space="preserve">Build an AI-powered conversational system that behaves like an AI Environmental Scientist, not a generic chatbot. The system integrates a structured knowledge base across 5 environmental dimensions, performs deterministic multi-variable causal diagnosis (&gt;= 3 variables), retrieves peer-reviewed evidence (FAO, IPCC, IPBES, Science, Nature), and generates non-obvious, cited intervention portfolios.</w:t>
            </w:r>
          </w:p>
        </w:tc>
      </w:tr>
    </w:tbl>
    <w:p>
      <w:pPr>
        <w:pStyle w:val="Heading2"/>
        <w:spacing w:before="260" w:after="120"/>
      </w:pPr>
      <w:r>
        <w:rPr>
          <w:b/>
          <w:sz w:val="26"/>
          <w:color w:val="0F766E"/>
        </w:rPr>
        <w:t xml:space="preserve">1. Repository Links &amp; Reviewer Access</w:t>
      </w:r>
    </w:p>
    <w:p>
      <w:pPr>
        <w:spacing w:before="100" w:after="100"/>
      </w:pPr>
      <w:r>
        <w:rPr>
          <w:i/>
          <w:sz w:val="22"/>
          <w:color w:val="475569"/>
        </w:rPr>
        <w:t xml:space="preserve">In accordance with the Document Submission Guidelines:</w:t>
      </w:r>
    </w:p>
    <w:tbl>
      <w:tblPr>
        <w:tblW w:w="9400" w:type="dxa"/>
        <w:tblBorders>
          <w:top w:val="single" w:sz="6" w:space="0" w:color="CBD5E1"/>
          <w:left w:val="none"/>
          <w:bottom w:val="single" w:sz="12" w:space="0" w:color="0F766E"/>
          <w:right w:val="none"/>
          <w:insideH w:val="single" w:sz="4" w:space="0" w:color="E2E8F0"/>
          <w:insideV w:val="none"/>
        </w:tblBorders>
      </w:tblPr>
      <w:tr>
        <w:tc>
          <w:tcPr>
            <w:tcW w:w="4700" w:type="dxa"/>
            <w:shd w:val="clear" w:color="auto" w:fill="0F766E"/>
          </w:tcPr>
          <w:p>
            <w:pPr>
              <w:spacing w:before="120" w:after="120"/>
            </w:pPr>
            <w:r>
              <w:rPr>
                <w:b/>
                <w:sz w:val="21"/>
                <w:color w:val="FFFFFF"/>
              </w:rPr>
              <w:t>Project Item</w:t>
            </w:r>
          </w:p>
        </w:tc>
        <w:tc>
          <w:tcPr>
            <w:tcW w:w="4700" w:type="dxa"/>
            <w:shd w:val="clear" w:color="auto" w:fill="0F766E"/>
          </w:tcPr>
          <w:p>
            <w:pPr>
              <w:spacing w:before="120" w:after="120"/>
            </w:pPr>
            <w:r>
              <w:rPr>
                <w:b/>
                <w:sz w:val="21"/>
                <w:color w:val="FFFFFF"/>
              </w:rPr>
              <w:t>Specification / URL</w:t>
            </w:r>
          </w:p>
        </w:tc>
      </w:tr>
      <w:tr>
        <w:tc>
          <w:tcPr>
            <w:tcW w:w="4700" w:type="dxa"/>
            <w:shd w:val="clear" w:color="auto" w:fill="FFFFFF"/>
          </w:tcPr>
          <w:p>
            <w:pPr>
              <w:spacing w:before="100" w:after="100"/>
            </w:pPr>
            <w:r>
              <w:rPr>
                <w:sz w:val="20"/>
                <w:color w:val="1E293B"/>
              </w:rPr>
              <w:t>GitHub Repository Link</w:t>
            </w:r>
          </w:p>
        </w:tc>
        <w:tc>
          <w:tcPr>
            <w:tcW w:w="4700" w:type="dxa"/>
            <w:shd w:val="clear" w:color="auto" w:fill="FFFFFF"/>
          </w:tcPr>
          <w:p>
            <w:pPr>
              <w:spacing w:before="100" w:after="100"/>
            </w:pPr>
            <w:r>
              <w:rPr>
                <w:sz w:val="20"/>
                <w:color w:val="1E293B"/>
              </w:rPr>
              <w:t>https://github.com/Suryanshsaraf/darukaaiengg.git</w:t>
            </w:r>
          </w:p>
        </w:tc>
      </w:tr>
      <w:tr>
        <w:tc>
          <w:tcPr>
            <w:tcW w:w="4700" w:type="dxa"/>
            <w:shd w:val="clear" w:color="auto" w:fill="F8FAFC"/>
          </w:tcPr>
          <w:p>
            <w:pPr>
              <w:spacing w:before="100" w:after="100"/>
            </w:pPr>
            <w:r>
              <w:rPr>
                <w:sz w:val="20"/>
                <w:color w:val="1E293B"/>
              </w:rPr>
              <w:t>Live Interactive Web Console</w:t>
            </w:r>
          </w:p>
        </w:tc>
        <w:tc>
          <w:tcPr>
            <w:tcW w:w="4700" w:type="dxa"/>
            <w:shd w:val="clear" w:color="auto" w:fill="F8FAFC"/>
          </w:tcPr>
          <w:p>
            <w:pPr>
              <w:spacing w:before="100" w:after="100"/>
            </w:pPr>
            <w:r>
              <w:rPr>
                <w:sz w:val="20"/>
                <w:color w:val="1E293B"/>
              </w:rPr>
              <w:t>React Web Application &amp; API: http://localhost:8000</w:t>
            </w:r>
          </w:p>
        </w:tc>
      </w:tr>
      <w:tr>
        <w:tc>
          <w:tcPr>
            <w:tcW w:w="4700" w:type="dxa"/>
            <w:shd w:val="clear" w:color="auto" w:fill="FFFFFF"/>
          </w:tcPr>
          <w:p>
            <w:pPr>
              <w:spacing w:before="100" w:after="100"/>
            </w:pPr>
            <w:r>
              <w:rPr>
                <w:sz w:val="20"/>
                <w:color w:val="1E293B"/>
              </w:rPr>
              <w:t>Automated Test Suite</w:t>
            </w:r>
          </w:p>
        </w:tc>
        <w:tc>
          <w:tcPr>
            <w:tcW w:w="4700" w:type="dxa"/>
            <w:shd w:val="clear" w:color="auto" w:fill="FFFFFF"/>
          </w:tcPr>
          <w:p>
            <w:pPr>
              <w:spacing w:before="100" w:after="100"/>
            </w:pPr>
            <w:r>
              <w:rPr>
                <w:sz w:val="20"/>
                <w:color w:val="1E293B"/>
              </w:rPr>
              <w:t>15 automated unit &amp; benchmark tests passing (0.008s execution)</w:t>
            </w:r>
          </w:p>
        </w:tc>
      </w:tr>
      <w:tr>
        <w:tc>
          <w:tcPr>
            <w:tcW w:w="4700" w:type="dxa"/>
            <w:shd w:val="clear" w:color="auto" w:fill="F8FAFC"/>
          </w:tcPr>
          <w:p>
            <w:pPr>
              <w:spacing w:before="100" w:after="100"/>
            </w:pPr>
            <w:r>
              <w:rPr>
                <w:sz w:val="20"/>
                <w:color w:val="1E293B"/>
              </w:rPr>
              <w:t>CI/CD Pipeline</w:t>
            </w:r>
          </w:p>
        </w:tc>
        <w:tc>
          <w:tcPr>
            <w:tcW w:w="4700" w:type="dxa"/>
            <w:shd w:val="clear" w:color="auto" w:fill="F8FAFC"/>
          </w:tcPr>
          <w:p>
            <w:pPr>
              <w:spacing w:before="100" w:after="100"/>
            </w:pPr>
            <w:r>
              <w:rPr>
                <w:sz w:val="20"/>
                <w:color w:val="1E293B"/>
              </w:rPr>
              <w:t>GitHub Actions workflow running matrix tests on Python 3.11, 3.12, 3.13</w:t>
            </w:r>
          </w:p>
        </w:tc>
      </w:tr>
    </w:tbl>
    <w:p>
      <w:pPr>
        <w:spacing w:before="160" w:after="60"/>
      </w:pPr>
      <w:r>
        <w:rPr>
          <w:b/>
          <w:sz w:val="22"/>
          <w:color w:val="134E4A"/>
        </w:rPr>
        <w:t xml:space="preserve">Repository Access Invitations for Private Repo Review:</w:t>
      </w:r>
    </w:p>
    <w:p>
      <w:pPr>
        <w:spacing w:before="100" w:after="100"/>
      </w:pPr>
      <w:r>
        <w:rPr>
          <w:sz w:val="21"/>
          <w:color w:val="222222"/>
        </w:rPr>
        <w:t xml:space="preserve">If the repository is set to private, collaborator invitations have been granted to all 4 specified Darukaa reviewer accounts:</w:t>
      </w:r>
    </w:p>
    <w:p>
      <w:pPr>
        <w:spacing w:before="100" w:after="100"/>
        <w:numPr>
          <w:ilvl w:val="0"/>
          <w:numId w:val="1"/>
        </w:numPr>
      </w:pPr>
      <w:r>
        <w:rPr>
          <w:sz w:val="21"/>
          <w:color w:val="222222"/>
        </w:rPr>
        <w:t xml:space="preserve">• ankita.dasgupta@darukaa.com</w:t>
      </w:r>
    </w:p>
    <w:p>
      <w:pPr>
        <w:spacing w:before="100" w:after="100"/>
        <w:numPr>
          <w:ilvl w:val="0"/>
          <w:numId w:val="1"/>
        </w:numPr>
      </w:pPr>
      <w:r>
        <w:rPr>
          <w:sz w:val="21"/>
          <w:color w:val="222222"/>
        </w:rPr>
        <w:t xml:space="preserve">• harsh.kumar@darukaa.com</w:t>
      </w:r>
    </w:p>
    <w:p>
      <w:pPr>
        <w:spacing w:before="100" w:after="100"/>
        <w:numPr>
          <w:ilvl w:val="0"/>
          <w:numId w:val="1"/>
        </w:numPr>
      </w:pPr>
      <w:r>
        <w:rPr>
          <w:sz w:val="21"/>
          <w:color w:val="222222"/>
        </w:rPr>
        <w:t xml:space="preserve">• utkarsh.gauniyal@darukaa.com</w:t>
      </w:r>
    </w:p>
    <w:p>
      <w:pPr>
        <w:spacing w:before="100" w:after="100"/>
        <w:numPr>
          <w:ilvl w:val="0"/>
          <w:numId w:val="1"/>
        </w:numPr>
      </w:pPr>
      <w:r>
        <w:rPr>
          <w:sz w:val="21"/>
          <w:color w:val="222222"/>
        </w:rPr>
        <w:t xml:space="preserve">• guneet.mutreja@darukaa.com</w:t>
      </w:r>
    </w:p>
    <w:p>
      <w:pPr>
        <w:pStyle w:val="Heading2"/>
        <w:spacing w:before="260" w:after="120"/>
      </w:pPr>
      <w:r>
        <w:rPr>
          <w:b/>
          <w:sz w:val="26"/>
          <w:color w:val="0F766E"/>
        </w:rPr>
        <w:t xml:space="preserve">2. Architecture &amp; Decision Pipeline Design</w:t>
      </w:r>
    </w:p>
    <w:p>
      <w:pPr>
        <w:spacing w:before="100" w:after="100"/>
      </w:pPr>
      <w:r>
        <w:rPr>
          <w:sz w:val="22"/>
          <w:color w:val="222222"/>
        </w:rPr>
        <w:t xml:space="preserve">The architecture decouples natural language interaction from deterministic causal evaluation. The system enforces strict acceptance gates so that no recommendation can be generated from uncontrolled prompt memory without passing through a multi-metric causal diagnostic matrix, a hybrid retrieval filter, and a structured evidence graph.</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THE 5 CORE PIPELINE STAGES</w:t>
            </w:r>
          </w:p>
          <w:p>
            <w:r>
              <w:rPr>
                <w:sz w:val="21"/>
                <w:color w:val="334155"/>
              </w:rPr>
              <w:t xml:space="preserve">1. Input Normalizer &amp; Entity Extractor: Ingests unstructured dialogue, structured JSON profiles, or lat/long coordinates.
2. Targeted Clarification State Machine: Evaluates whether &gt;= 3 critical variables are present. If incomplete, fires targeted questions for the 3 most decision-critical missing inputs.
3. Multi-Metric Causal Diagnostic Matrix: Evaluates combinatorial risks across Soil Health, Water/Climate, Land Use, Biodiversity, and Human Impact.
4. Hybrid Knowledge Retriever: Executes BM25 lexical search + TF-IDF vector cosine similarity + metadata filtering over 16 indexed studies.
5. Evidence-Claim Binding &amp; Schema Gate: Guarantees every recommendation contains an operational prescription, scientific mechanism, quantified metric delta, time horizon, confidence tier, and verified citation.</w:t>
            </w:r>
          </w:p>
        </w:tc>
      </w:tr>
    </w:tbl>
    <w:p>
      <w:pPr>
        <w:pStyle w:val="Heading2"/>
        <w:spacing w:before="260" w:after="120"/>
      </w:pPr>
      <w:r>
        <w:rPr>
          <w:b/>
          <w:sz w:val="26"/>
          <w:color w:val="0F766E"/>
        </w:rPr>
        <w:t xml:space="preserve">3. Addressing the 5 Evaluation Criteria</w:t>
      </w:r>
    </w:p>
    <w:p>
      <w:pPr>
        <w:pStyle w:val="Heading3"/>
        <w:spacing w:before="180" w:after="80"/>
      </w:pPr>
      <w:r>
        <w:rPr>
          <w:b/>
          <w:sz w:val="23"/>
          <w:color w:val="1E293B"/>
        </w:rPr>
        <w:t xml:space="preserve">Criterion 1: Depth of Reasoning (30%)</w:t>
      </w:r>
    </w:p>
    <w:p>
      <w:pPr>
        <w:spacing w:before="100" w:after="100"/>
      </w:pPr>
      <w:r>
        <w:rPr>
          <w:sz w:val="22"/>
          <w:color w:val="222222"/>
        </w:rPr>
        <w:t xml:space="preserve">Single-variable advice (e.g., 'apply compost to raise carbon') is shallow and biologically incomplete. Darukaa.Earth strictly enforces a combinatorial evaluation of at least 3 interacting environmental variables in every final plan.</w:t>
      </w:r>
    </w:p>
    <w:p>
      <w:pPr>
        <w:spacing w:before="100" w:after="100"/>
      </w:pPr>
      <w:r>
        <w:rPr>
          <w:b/>
          <w:sz w:val="21"/>
          <w:color w:val="222222"/>
        </w:rPr>
        <w:t xml:space="preserve">Key Compound Interactions Implemented:</w:t>
      </w:r>
    </w:p>
    <w:p>
      <w:pPr>
        <w:spacing w:before="100" w:after="100"/>
      </w:pPr>
      <w:r>
        <w:rPr>
          <w:sz w:val="21"/>
          <w:color w:val="222222"/>
        </w:rPr>
        <w:t xml:space="preserve">• Semi-Arid Evaporative Cascade: Combines Soil Organic Carbon (&lt;=0.4%), precipitation (&lt;=350mm), and monoculture cropping. It explains how carbon depletion breaks water-stable macroaggregates, accelerating surface crusting and wind erosion under high vapor pressure deficits.</w:t>
      </w:r>
    </w:p>
    <w:p>
      <w:pPr>
        <w:spacing w:before="100" w:after="100"/>
      </w:pPr>
      <w:r>
        <w:rPr>
          <w:sz w:val="21"/>
          <w:color w:val="222222"/>
        </w:rPr>
        <w:t xml:space="preserve">• Mycorrhizal &amp; Trophic Collapse: Evaluates conventional deep plowing, high pesticide applications (&gt;2 passes/yr), and low canopy cover. It traces how hyphal shearing destroys glomalin synthesis while chemical broad-spectrum sprays break predatory insect cascades.</w:t>
      </w:r>
    </w:p>
    <w:p>
      <w:pPr>
        <w:spacing w:before="100" w:after="100"/>
      </w:pPr>
      <w:r>
        <w:rPr>
          <w:sz w:val="21"/>
          <w:color w:val="222222"/>
        </w:rPr>
        <w:t xml:space="preserve">• Hydrological Decoupling in Rangelands: Evaluates degraded pasture, bulk density (&gt;1.50 g/cm³), and bare ground cover (&lt;30%), explaining compaction-driven precipitation runoff.</w:t>
      </w:r>
    </w:p>
    <w:p>
      <w:pPr>
        <w:pStyle w:val="Heading3"/>
        <w:spacing w:before="180" w:after="80"/>
      </w:pPr>
      <w:r>
        <w:rPr>
          <w:b/>
          <w:sz w:val="23"/>
          <w:color w:val="1E293B"/>
        </w:rPr>
        <w:t xml:space="preserve">Criterion 2: Scientific Grounding (25%)</w:t>
      </w:r>
    </w:p>
    <w:p>
      <w:pPr>
        <w:spacing w:before="100" w:after="100"/>
      </w:pPr>
      <w:r>
        <w:rPr>
          <w:sz w:val="22"/>
          <w:color w:val="222222"/>
        </w:rPr>
        <w:t xml:space="preserve">Every material recommendation is backed by peer-reviewed literature or UN institutional assessments. No generic LLM hallucinations are permitted. All outputs include the author, publication year, title, permanent DOI/URL, and an exact verbatim passage excerpt.</w:t>
      </w:r>
    </w:p>
    <w:p>
      <w:pPr>
        <w:spacing w:before="100" w:after="100"/>
      </w:pPr>
      <w:r>
        <w:rPr>
          <w:sz w:val="22"/>
          <w:color w:val="222222"/>
        </w:rPr>
        <w:t xml:space="preserve">Examples of Grounded Primary Literature in the System:
- FAO Global Soil Partnership (2020): Recarbonizing Global Soils (Vol. 3). Documents that leguminous cover crops in drylands elevate SOC by 0.15% to 0.35% absolute (+18-28% relative) over 24-36 months.
- IPCC SRCCL Chapter 4 (2019): Documents microclimate buffering of 2.0-3.8°C and hydraulic lift via deep-rooted woody perennials in drylands.
- Nature Plants (2021) Meta-Analysis: 1,245 paired observations demonstrating a 27% increase in SOC stocks and 56% increase in biodiversity species richness under agroforestry alley cropping.
- Science (Rillig et al. 2020): Arbuscular mycorrhizal fungi glomalin production and macroaggregate stabilization under zero-tillage.</w:t>
      </w:r>
    </w:p>
    <w:p>
      <w:pPr>
        <w:pStyle w:val="Heading3"/>
        <w:spacing w:before="180" w:after="80"/>
      </w:pPr>
      <w:r>
        <w:rPr>
          <w:b/>
          <w:sz w:val="23"/>
          <w:color w:val="1E293B"/>
        </w:rPr>
        <w:t xml:space="preserve">Criterion 3: Knowledge System Design (20%)</w:t>
      </w:r>
    </w:p>
    <w:p>
      <w:pPr>
        <w:spacing w:before="100" w:after="100"/>
      </w:pPr>
      <w:r>
        <w:rPr>
          <w:sz w:val="22"/>
          <w:color w:val="222222"/>
        </w:rPr>
        <w:t xml:space="preserve">The system incorporates a hybrid retrieval layer combining BM25 lexical ranking with TF-IDF vector cosine similarity and categorical metadata filtering (climate zone, land use, target metrics). The interactive demo exposes a Deep Retrieval Trace Inspector displaying candidate chunks evaluated, retrieval latency (sub-millisecond), individual score components, and cited passages.</w:t>
      </w:r>
    </w:p>
    <w:p>
      <w:pPr>
        <w:pStyle w:val="Heading3"/>
        <w:spacing w:before="180" w:after="80"/>
      </w:pPr>
      <w:r>
        <w:rPr>
          <w:b/>
          <w:sz w:val="23"/>
          <w:color w:val="1E293B"/>
        </w:rPr>
        <w:t xml:space="preserve">Criterion 4: Conversational Intelligence (15%)</w:t>
      </w:r>
    </w:p>
    <w:p>
      <w:pPr>
        <w:spacing w:before="100" w:after="100"/>
      </w:pPr>
      <w:r>
        <w:rPr>
          <w:sz w:val="22"/>
          <w:color w:val="222222"/>
        </w:rPr>
        <w:t xml:space="preserve">The conversational agent maintains multi-turn session memory and implements an active diagnostic clarification state machine. When given an underspecified prompt (e.g. 'Biodiversity is declining on my land'), the agent does not guess or provide shallow advice. Instead, it identifies the 3 missing variables that will most change the decision—asking specifically for soil organic carbon %, rainfall pattern, and land use type—and remembers the context across turns.</w:t>
      </w:r>
    </w:p>
    <w:p>
      <w:pPr>
        <w:pStyle w:val="Heading3"/>
        <w:spacing w:before="180" w:after="80"/>
      </w:pPr>
      <w:r>
        <w:rPr>
          <w:b/>
          <w:sz w:val="23"/>
          <w:color w:val="1E293B"/>
        </w:rPr>
        <w:t xml:space="preserve">Criterion 5: Output Clarity (10%)</w:t>
      </w:r>
    </w:p>
    <w:p>
      <w:pPr>
        <w:spacing w:before="100" w:after="100"/>
      </w:pPr>
      <w:r>
        <w:rPr>
          <w:sz w:val="22"/>
          <w:color w:val="222222"/>
        </w:rPr>
        <w:t xml:space="preserve">Responses are rendered through structured recommendation cards validated against machine-readable JSON schemas. Each card provides: (1) Concrete operational actions, (2) Detailed biochemical/ecological mechanisms, (3) Quantified metric impacts with baseline deltas, (4) Multi-horizon timeframes (short, medium, long term), (5) Confidence scores and rationale, (6) Agronomic trade-offs and risks, and (7) Verifiable citations.</w:t>
      </w:r>
    </w:p>
    <w:p>
      <w:pPr>
        <w:pStyle w:val="Heading2"/>
        <w:spacing w:before="260" w:after="120"/>
      </w:pPr>
      <w:r>
        <w:rPr>
          <w:b/>
          <w:sz w:val="26"/>
          <w:color w:val="0F766E"/>
        </w:rPr>
        <w:t xml:space="preserve">4. Verification of the Three Core Benchmark Moments</w:t>
      </w:r>
    </w:p>
    <w:p>
      <w:pPr>
        <w:pStyle w:val="Heading3"/>
        <w:spacing w:before="180" w:after="80"/>
      </w:pPr>
      <w:r>
        <w:rPr>
          <w:b/>
          <w:sz w:val="23"/>
          <w:color w:val="1E293B"/>
        </w:rPr>
        <w:t xml:space="preserve">Moment 1: Vague Biodiversity Decline</w:t>
      </w:r>
    </w:p>
    <w:p>
      <w:pPr>
        <w:spacing w:before="100" w:after="100"/>
      </w:pPr>
      <w:r>
        <w:rPr>
          <w:b/>
          <w:sz w:val="22"/>
          <w:color w:val="222222"/>
        </w:rPr>
        <w:t xml:space="preserve">• Input Query: 'Biodiversity is declining on my land'</w:t>
      </w:r>
    </w:p>
    <w:p>
      <w:pPr>
        <w:spacing w:before="100" w:after="100"/>
      </w:pPr>
      <w:r>
        <w:rPr>
          <w:sz w:val="22"/>
          <w:color w:val="222222"/>
        </w:rPr>
        <w:t xml:space="preserve">• Output Behavior: System detects 0 critical variables and triggers a targeted clarification response:</w:t>
      </w:r>
    </w:p>
    <w:p>
      <w:pPr>
        <w:spacing w:before="100" w:after="100"/>
      </w:pPr>
      <w:r>
        <w:rPr>
          <w:i/>
          <w:sz w:val="22"/>
          <w:color w:val="222222"/>
        </w:rPr>
        <w:t xml:space="preserve">  "To diagnose your site scientifically and formulate an evidence-backed intervention, can you provide soil organic carbon % (SOC), annual rainfall or rainfall pattern, and land use or crop type?"</w:t>
      </w:r>
    </w:p>
    <w:p>
      <w:pPr>
        <w:pStyle w:val="Heading3"/>
        <w:spacing w:before="180" w:after="80"/>
      </w:pPr>
      <w:r>
        <w:rPr>
          <w:b/>
          <w:sz w:val="23"/>
          <w:color w:val="1E293B"/>
        </w:rPr>
        <w:t xml:space="preserve">Moment 2: Semi-Arid Monoculture Wheat (The Canonical Hackathon Challenge)</w:t>
      </w:r>
    </w:p>
    <w:p>
      <w:pPr>
        <w:spacing w:before="100" w:after="100"/>
      </w:pPr>
      <w:r>
        <w:rPr>
          <w:b/>
          <w:sz w:val="22"/>
          <w:color w:val="222222"/>
        </w:rPr>
        <w:t xml:space="preserve">• Input: Soil organic carbon: 0.3%, Rainfall: low (320mm), Crop: monoculture wheat, Region: semi-arid</w:t>
      </w:r>
    </w:p>
    <w:p>
      <w:pPr>
        <w:spacing w:before="100" w:after="100"/>
      </w:pPr>
      <w:r>
        <w:rPr>
          <w:sz w:val="22"/>
          <w:color w:val="222222"/>
        </w:rPr>
        <w:t xml:space="preserve">• Causal Diagnosis: Accelerated Soil Aggregate Breakdown &amp; Moisture Evaporation Cascade (Vulnerability: 69.8/100)</w:t>
      </w:r>
    </w:p>
    <w:p>
      <w:pPr>
        <w:spacing w:before="100" w:after="100"/>
      </w:pPr>
      <w:r>
        <w:rPr>
          <w:sz w:val="22"/>
          <w:color w:val="222222"/>
        </w:rPr>
        <w:t xml:space="preserve">• Verified Recommendations Generated:</w:t>
      </w:r>
    </w:p>
    <w:p>
      <w:pPr>
        <w:spacing w:before="100" w:after="100"/>
      </w:pPr>
      <w:r>
        <w:rPr>
          <w:sz w:val="22"/>
          <w:color w:val="222222"/>
        </w:rPr>
        <w:t xml:space="preserve">  1. Multi-Species Leguminous Cover Cropping: SOC +23% to +36%, bulk density -6% to -11%, AMF colonization +35% to +65% over 2-3 years. Backed by FAO Global Soil Partnership (2020) and Science (Rillig et al. 2020).</w:t>
      </w:r>
    </w:p>
    <w:p>
      <w:pPr>
        <w:spacing w:before="100" w:after="100"/>
      </w:pPr>
      <w:r>
        <w:rPr>
          <w:sz w:val="22"/>
          <w:color w:val="222222"/>
        </w:rPr>
        <w:t xml:space="preserve">  2. Dryland Agroforestry &amp; Alley Cropping: Woody canopy cover +15% to +25%, SOC +27% to +46%, Shannon diversity +35% to +60% over 3-6 years. Backed by IPCC SRCCL Chapter 4 (2019) and Nature Plants (2021).</w:t>
      </w:r>
    </w:p>
    <w:p>
      <w:pPr>
        <w:spacing w:before="100" w:after="100"/>
      </w:pPr>
      <w:r>
        <w:rPr>
          <w:sz w:val="22"/>
          <w:color w:val="222222"/>
        </w:rPr>
        <w:t xml:space="preserve">  3. Cereal-Pulse Strip Intercropping: Synthetic nitrogen -30% to -50%, pollinator abundance +35% to +65% in 1 season. Backed by IPCC AR6 WGII Chapter 5 (2022) and Nature Communications (2020).</w:t>
      </w:r>
    </w:p>
    <w:p>
      <w:pPr>
        <w:pStyle w:val="Heading3"/>
        <w:spacing w:before="180" w:after="80"/>
      </w:pPr>
      <w:r>
        <w:rPr>
          <w:b/>
          <w:sz w:val="23"/>
          <w:color w:val="1E293B"/>
        </w:rPr>
        <w:t xml:space="preserve">Moment 3: Geo-Coordinates &amp; Deep Retrieval Trace</w:t>
      </w:r>
    </w:p>
    <w:p>
      <w:pPr>
        <w:spacing w:before="100" w:after="100"/>
      </w:pPr>
      <w:r>
        <w:rPr>
          <w:b/>
          <w:sz w:val="22"/>
          <w:color w:val="222222"/>
        </w:rPr>
        <w:t xml:space="preserve">• Input: Coordinates (31.5, -102.3), SOC: 0.45%, Bulk Density: 1.52 g/cm³, Monoculture Cotton</w:t>
      </w:r>
    </w:p>
    <w:p>
      <w:pPr>
        <w:spacing w:before="100" w:after="100"/>
      </w:pPr>
      <w:r>
        <w:rPr>
          <w:sz w:val="22"/>
          <w:color w:val="222222"/>
        </w:rPr>
        <w:t xml:space="preserve">• Spatial Enrichment: Mapped to North American High Plains semi-arid basin via ISRIC/WorldClim baselines.</w:t>
      </w:r>
    </w:p>
    <w:p>
      <w:pPr>
        <w:spacing w:before="100" w:after="100"/>
      </w:pPr>
      <w:r>
        <w:rPr>
          <w:sz w:val="22"/>
          <w:color w:val="222222"/>
        </w:rPr>
        <w:t xml:space="preserve">• Live Retrieval Trace: Evaluated 17 candidate chunks across 16 studies; returned top 6 passages in 0.4 ms with exact BM25, TF-IDF cosine, and metadata match breakdown.</w:t>
      </w:r>
    </w:p>
    <w:p>
      <w:pPr>
        <w:pStyle w:val="Heading2"/>
        <w:spacing w:before="260" w:after="120"/>
      </w:pPr>
      <w:r>
        <w:rPr>
          <w:b/>
          <w:sz w:val="26"/>
          <w:color w:val="0F766E"/>
        </w:rPr>
        <w:t xml:space="preserve">5. Local Setup, CLI &amp; CI/CD Instructions</w:t>
      </w:r>
    </w:p>
    <w:p>
      <w:pPr>
        <w:spacing w:before="100" w:after="100"/>
      </w:pPr>
      <w:r>
        <w:rPr>
          <w:b/>
          <w:sz w:val="21"/>
          <w:color w:val="222222"/>
        </w:rPr>
        <w:t xml:space="preserve">Steps for Reviewers to Execute the Project Locally:</w:t>
      </w:r>
    </w:p>
    <w:p>
      <w:pPr>
        <w:spacing w:before="100" w:after="100"/>
      </w:pPr>
      <w:r>
        <w:rPr>
          <w:sz w:val="22"/>
          <w:color w:val="222222"/>
        </w:rPr>
        <w:t xml:space="preserve">1. Clone Repository: git clone https://github.com/Suryanshsaraf/darukaaiengg.git</w:t>
      </w:r>
    </w:p>
    <w:p>
      <w:pPr>
        <w:spacing w:before="100" w:after="100"/>
      </w:pPr>
      <w:r>
        <w:rPr>
          <w:sz w:val="22"/>
          <w:color w:val="222222"/>
        </w:rPr>
        <w:t xml:space="preserve">2. Install Dependencies: pip install -r requirements.txt</w:t>
      </w:r>
    </w:p>
    <w:p>
      <w:pPr>
        <w:spacing w:before="100" w:after="100"/>
      </w:pPr>
      <w:r>
        <w:rPr>
          <w:sz w:val="22"/>
          <w:color w:val="222222"/>
        </w:rPr>
        <w:t xml:space="preserve">3. Launch Web Dashboard: python server.py (Open http://localhost:8000)</w:t>
      </w:r>
    </w:p>
    <w:p>
      <w:pPr>
        <w:spacing w:before="100" w:after="100"/>
      </w:pPr>
      <w:r>
        <w:rPr>
          <w:sz w:val="22"/>
          <w:color w:val="222222"/>
        </w:rPr>
        <w:t xml:space="preserve">4. Run CLI Benchmarks: python run_cli.py --benchmark 2</w:t>
      </w:r>
    </w:p>
    <w:p>
      <w:pPr>
        <w:spacing w:before="100" w:after="100"/>
      </w:pPr>
      <w:r>
        <w:rPr>
          <w:sz w:val="22"/>
          <w:color w:val="222222"/>
        </w:rPr>
        <w:t xml:space="preserve">5. Run Automated Tests: python -m unittest discover -s tests -p 'test_*.py' -v</w:t>
      </w:r>
    </w:p>
    <w:p>
      <w:pPr>
        <w:pStyle w:val="Heading2"/>
        <w:spacing w:before="260" w:after="120"/>
      </w:pPr>
      <w:r>
        <w:rPr>
          <w:b/>
          <w:sz w:val="26"/>
          <w:color w:val="0F766E"/>
        </w:rPr>
        <w:t xml:space="preserve">6. Reviewer Notes &amp; Credentials</w:t>
      </w:r>
    </w:p>
    <w:p>
      <w:pPr>
        <w:spacing w:before="100" w:after="100"/>
      </w:pPr>
      <w:r>
        <w:rPr>
          <w:sz w:val="22"/>
          <w:color w:val="222222"/>
        </w:rPr>
        <w:t xml:space="preserve">• No proprietary API keys (e.g. OpenAI/Anthropic) are required to execute or test this project. The system runs completely offline, deterministic, and self-contained.
• The system architecture features a decoupled modern React + Tailwind frontend paired with a high-performance Python REST decision engine.
• For questions, contact: Suryansh Saraf (Author/Maintainer) via the GitHub repository.</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22222"/>
      </w:rPr>
    </w:rPrDefault>
    <w:pPrDefault>
      <w:pPr>
        <w:spacing w:line="276" w:lineRule="auto" w:before="100" w:after="100"/>
      </w:pPr>
    </w:pPrDefault>
  </w:docDefaults>
  <w:style w:type="paragraph" w:styleId="Heading1">
    <w:name w:val="heading 1"/>
    <w:pPr>
      <w:spacing w:before="280" w:after="140"/>
    </w:pPr>
    <w:rPr>
      <w:rFonts w:ascii="Calibri" w:hAnsi="Calibri"/>
      <w:b/>
      <w:sz w:val="32"/>
      <w:color w:val="134E4A"/>
    </w:rPr>
  </w:style>
  <w:style w:type="paragraph" w:styleId="Heading2">
    <w:name w:val="heading 2"/>
    <w:pPr>
      <w:spacing w:before="220" w:after="100"/>
    </w:pPr>
    <w:rPr>
      <w:rFonts w:ascii="Calibri" w:hAnsi="Calibri"/>
      <w:b/>
      <w:sz w:val="26"/>
      <w:color w:val="0F766E"/>
    </w:rPr>
  </w:style>
  <w:style w:type="paragraph" w:styleId="Heading3">
    <w:name w:val="heading 3"/>
    <w:pPr>
      <w:spacing w:before="160" w:after="80"/>
    </w:pPr>
    <w:rPr>
      <w:rFonts w:ascii="Calibri" w:hAnsi="Calibri"/>
      <w:b/>
      <w:sz w:val="23"/>
      <w:color w:val="1E293B"/>
    </w:rPr>
  </w:style>
</w:styles>
</file>