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B26A1" w:rsidRDefault="00000000" w14:paraId="7C994B4B" w14:textId="77777777">
      <w:pPr>
        <w:spacing w:after="160"/>
        <w:jc w:val="center"/>
        <w:rPr>
          <w:rFonts w:hint="eastAsia"/>
        </w:rPr>
      </w:pPr>
      <w:r>
        <w:rPr>
          <w:rFonts w:ascii="Aptos Display" w:hAnsi="Aptos Display"/>
          <w:b/>
          <w:color w:val="1F4E79"/>
          <w:sz w:val="44"/>
        </w:rPr>
        <w:t>Toyota U.S. Dealer Network Expansion Report</w:t>
      </w:r>
    </w:p>
    <w:p w:rsidR="001B26A1" w:rsidRDefault="00000000" w14:paraId="1FEA6B98" w14:textId="77777777">
      <w:pPr>
        <w:spacing w:after="360"/>
        <w:jc w:val="center"/>
        <w:rPr>
          <w:rFonts w:hint="eastAsia"/>
        </w:rPr>
      </w:pPr>
      <w:r>
        <w:rPr>
          <w:i/>
          <w:sz w:val="24"/>
        </w:rPr>
        <w:t>From state-level EV clustering to city-level entry screening,</w:t>
      </w:r>
      <w:r>
        <w:rPr>
          <w:i/>
          <w:sz w:val="24"/>
        </w:rPr>
        <w:br/>
      </w:r>
      <w:r>
        <w:rPr>
          <w:i/>
          <w:sz w:val="24"/>
        </w:rPr>
        <w:t>capacity regression, and phased profit scenarios</w:t>
      </w:r>
    </w:p>
    <w:p w:rsidR="001B26A1" w:rsidP="00BE740B" w:rsidRDefault="00000000" w14:paraId="7F2E568B" w14:textId="77777777">
      <w:pPr>
        <w:spacing w:after="240"/>
        <w:rPr>
          <w:rFonts w:hint="eastAsia"/>
        </w:rPr>
      </w:pPr>
      <w:r>
        <w:rPr>
          <w:sz w:val="22"/>
        </w:rPr>
        <w:t xml:space="preserve">This report consolidates the full second-stage workflow built on top of the clustering study: </w:t>
      </w:r>
      <w:r>
        <w:rPr>
          <w:sz w:val="22"/>
        </w:rPr>
        <w:br/>
      </w:r>
      <w:r>
        <w:rPr>
          <w:sz w:val="22"/>
        </w:rPr>
        <w:t xml:space="preserve">(1) integrating state-level clustering outputs into the city-level modelling table, </w:t>
      </w:r>
      <w:r>
        <w:rPr>
          <w:sz w:val="22"/>
        </w:rPr>
        <w:br/>
      </w:r>
      <w:r>
        <w:rPr>
          <w:sz w:val="22"/>
        </w:rPr>
        <w:t xml:space="preserve">(2) engineering features and building a city classifier for dealer presence, </w:t>
      </w:r>
      <w:r>
        <w:rPr>
          <w:sz w:val="22"/>
        </w:rPr>
        <w:br/>
      </w:r>
      <w:r>
        <w:rPr>
          <w:sz w:val="22"/>
        </w:rPr>
        <w:t xml:space="preserve">(3) predicting dealer counts for candidate cities, and </w:t>
      </w:r>
      <w:r>
        <w:rPr>
          <w:sz w:val="22"/>
        </w:rPr>
        <w:br/>
      </w:r>
      <w:r>
        <w:rPr>
          <w:sz w:val="22"/>
        </w:rPr>
        <w:t>(4) translating the resulting network opportunity into near-term and long-term revenue and profit scenarios.</w:t>
      </w:r>
    </w:p>
    <w:p w:rsidR="001B26A1" w:rsidRDefault="00000000" w14:paraId="2FBB18C5" w14:textId="77777777">
      <w:pPr>
        <w:spacing w:after="80"/>
        <w:jc w:val="center"/>
        <w:rPr>
          <w:rFonts w:hint="eastAsia"/>
        </w:rPr>
      </w:pPr>
      <w:r>
        <w:rPr>
          <w:i/>
          <w:color w:val="666666"/>
          <w:sz w:val="20"/>
        </w:rPr>
        <w:t>Prepared from the project files, modelling outputs, and screenshots shared during the analysis workflow.</w:t>
      </w:r>
    </w:p>
    <w:p w:rsidR="001B26A1" w:rsidRDefault="00000000" w14:paraId="37B2043A" w14:textId="77777777">
      <w:pPr>
        <w:spacing w:after="400"/>
        <w:jc w:val="center"/>
        <w:rPr>
          <w:rFonts w:hint="eastAsia"/>
        </w:rPr>
      </w:pPr>
      <w:r>
        <w:rPr>
          <w:color w:val="666666"/>
          <w:sz w:val="20"/>
        </w:rPr>
        <w:t>17 March 2026</w:t>
      </w:r>
    </w:p>
    <w:tbl>
      <w:tblPr>
        <w:tblStyle w:val="aff1"/>
        <w:tblW w:w="0" w:type="auto"/>
        <w:jc w:val="center"/>
        <w:tblLook w:val="04A0" w:firstRow="1" w:lastRow="0" w:firstColumn="1" w:lastColumn="0" w:noHBand="0" w:noVBand="1"/>
      </w:tblPr>
      <w:tblGrid>
        <w:gridCol w:w="9605"/>
      </w:tblGrid>
      <w:tr w:rsidR="001B26A1" w14:paraId="1C81A7F6" w14:textId="77777777">
        <w:trPr>
          <w:tblHeader/>
          <w:jc w:val="center"/>
        </w:trPr>
        <w:tc>
          <w:tcPr>
            <w:tcW w:w="9605" w:type="dxa"/>
            <w:shd w:val="clear" w:color="auto" w:fill="EEF4FB"/>
            <w:vAlign w:val="center"/>
          </w:tcPr>
          <w:p w:rsidR="001B26A1" w:rsidRDefault="001B26A1" w14:paraId="4358E390" w14:textId="77777777">
            <w:pPr>
              <w:jc w:val="center"/>
              <w:rPr>
                <w:rFonts w:hint="eastAsia"/>
              </w:rPr>
            </w:pPr>
          </w:p>
          <w:p w:rsidR="001B26A1" w:rsidP="00BE740B" w:rsidRDefault="00000000" w14:paraId="441ED185" w14:textId="77777777">
            <w:pPr>
              <w:spacing w:after="80"/>
              <w:ind w:left="216"/>
              <w:jc w:val="both"/>
              <w:rPr>
                <w:rFonts w:hint="eastAsia"/>
              </w:rPr>
            </w:pPr>
            <w:r>
              <w:rPr>
                <w:b/>
                <w:sz w:val="18"/>
              </w:rPr>
              <w:t>• The clustering study identified Cluster 1 as the main mature-EV target segment and Cluster 0 as the main secondary expansion segment.</w:t>
            </w:r>
          </w:p>
          <w:p w:rsidR="001B26A1" w:rsidP="00BE740B" w:rsidRDefault="00000000" w14:paraId="6D58BCB9" w14:textId="77777777">
            <w:pPr>
              <w:spacing w:after="80"/>
              <w:ind w:left="216"/>
              <w:jc w:val="both"/>
              <w:rPr>
                <w:rFonts w:hint="eastAsia"/>
              </w:rPr>
            </w:pPr>
            <w:r>
              <w:rPr>
                <w:b/>
                <w:sz w:val="18"/>
              </w:rPr>
              <w:t>• State-level clustering outputs were merged into the city-level table and used as new modelling inputs, producing a master dataset of roughly 31k city-state observations.</w:t>
            </w:r>
          </w:p>
          <w:p w:rsidR="001B26A1" w:rsidP="00BE740B" w:rsidRDefault="00000000" w14:paraId="004CE425" w14:textId="77777777">
            <w:pPr>
              <w:spacing w:after="80"/>
              <w:ind w:left="216"/>
              <w:jc w:val="both"/>
              <w:rPr>
                <w:rFonts w:hint="eastAsia"/>
              </w:rPr>
            </w:pPr>
            <w:r>
              <w:rPr>
                <w:b/>
                <w:sz w:val="18"/>
              </w:rPr>
              <w:t>• After group-based train/validation/test splitting and leakage removal, the final Stage 1 classifier used city capacity variables plus the reduced state cluster indicator to screen cities with a high probability of supporting a Toyota dealership.</w:t>
            </w:r>
          </w:p>
          <w:p w:rsidR="001B26A1" w:rsidP="00BE740B" w:rsidRDefault="00000000" w14:paraId="20D91850" w14:textId="77777777">
            <w:pPr>
              <w:spacing w:after="80"/>
              <w:ind w:left="216"/>
              <w:jc w:val="both"/>
              <w:rPr>
                <w:rFonts w:hint="eastAsia"/>
              </w:rPr>
            </w:pPr>
            <w:r>
              <w:rPr>
                <w:b/>
                <w:sz w:val="18"/>
              </w:rPr>
              <w:t>• For Stage 2, dealer-count prediction was restricted to cities with dealer_count &gt; 0. Feature engineering showed that city-capacity variables alone performed best. The final tuned model was a Random Forest regressor using log_population, log_density, and incorporated.</w:t>
            </w:r>
          </w:p>
          <w:p w:rsidR="001B26A1" w:rsidP="00BE740B" w:rsidRDefault="00000000" w14:paraId="438689BC" w14:textId="77777777">
            <w:pPr>
              <w:spacing w:after="80"/>
              <w:ind w:left="216"/>
              <w:jc w:val="both"/>
              <w:rPr>
                <w:rFonts w:hint="eastAsia"/>
              </w:rPr>
            </w:pPr>
            <w:r>
              <w:rPr>
                <w:b/>
                <w:sz w:val="18"/>
              </w:rPr>
              <w:t>• The final recommendation pool contained 1,563 candidate city rows and 1,577 long-run recommended new dealerships, with California, Florida, Texas, Illinois, and Ohio appearing among the largest state-level opportunity pools.</w:t>
            </w:r>
          </w:p>
          <w:p w:rsidR="001B26A1" w:rsidP="00BE740B" w:rsidRDefault="00000000" w14:paraId="1B5EBCE7" w14:textId="77777777">
            <w:pPr>
              <w:spacing w:after="80"/>
              <w:ind w:left="216"/>
              <w:jc w:val="both"/>
              <w:rPr>
                <w:rFonts w:hint="eastAsia"/>
              </w:rPr>
            </w:pPr>
            <w:r>
              <w:rPr>
                <w:b/>
                <w:sz w:val="18"/>
              </w:rPr>
              <w:t>• A one-year rollout of the full long-run target was not financially realistic. A phased 10-year rollout produced a more credible investment profile: early years are cost-heavy, but base and optimistic scenarios become profit-accretive over time.</w:t>
            </w:r>
          </w:p>
        </w:tc>
      </w:tr>
    </w:tbl>
    <w:p w:rsidR="001B26A1" w:rsidRDefault="001B26A1" w14:paraId="35154B21" w14:textId="77777777">
      <w:pPr>
        <w:rPr>
          <w:rFonts w:hint="eastAsia"/>
        </w:rPr>
      </w:pPr>
    </w:p>
    <w:p w:rsidR="001B26A1" w:rsidRDefault="00000000" w14:paraId="0CF004C3" w14:textId="77777777">
      <w:pPr>
        <w:spacing w:after="80"/>
        <w:rPr>
          <w:rFonts w:hint="eastAsia"/>
        </w:rPr>
      </w:pPr>
      <w:r>
        <w:rPr>
          <w:b/>
          <w:color w:val="1F4E79"/>
          <w:sz w:val="28"/>
        </w:rPr>
        <w:t>Contents</w:t>
      </w:r>
    </w:p>
    <w:p w:rsidR="001B26A1" w:rsidRDefault="00000000" w14:paraId="6EF36329" w14:textId="77777777">
      <w:pPr>
        <w:pStyle w:val="a0"/>
        <w:ind w:left="0"/>
        <w:rPr>
          <w:rFonts w:hint="eastAsia"/>
        </w:rPr>
      </w:pPr>
      <w:r>
        <w:t>1. Objective and workflow</w:t>
      </w:r>
    </w:p>
    <w:p w:rsidR="001B26A1" w:rsidRDefault="00000000" w14:paraId="0A301030" w14:textId="77777777">
      <w:pPr>
        <w:pStyle w:val="a0"/>
        <w:ind w:left="0"/>
        <w:rPr>
          <w:rFonts w:hint="eastAsia"/>
        </w:rPr>
      </w:pPr>
      <w:r>
        <w:t>2. Data integration: from state clustering to a city-level modelling table</w:t>
      </w:r>
    </w:p>
    <w:p w:rsidR="001B26A1" w:rsidRDefault="00000000" w14:paraId="70E9B150" w14:textId="77777777">
      <w:pPr>
        <w:pStyle w:val="a0"/>
        <w:ind w:left="0"/>
        <w:rPr>
          <w:rFonts w:hint="eastAsia"/>
        </w:rPr>
      </w:pPr>
      <w:r>
        <w:t>3. Stage 1 classification model for dealership presence</w:t>
      </w:r>
    </w:p>
    <w:p w:rsidR="001B26A1" w:rsidRDefault="00000000" w14:paraId="50444CE3" w14:textId="77777777">
      <w:pPr>
        <w:pStyle w:val="a0"/>
        <w:ind w:left="0"/>
        <w:rPr>
          <w:rFonts w:hint="eastAsia"/>
        </w:rPr>
      </w:pPr>
      <w:r>
        <w:t>4. Stage 2 regression model for dealership count</w:t>
      </w:r>
    </w:p>
    <w:p w:rsidR="001B26A1" w:rsidRDefault="00000000" w14:paraId="67467FD9" w14:textId="77777777">
      <w:pPr>
        <w:pStyle w:val="a0"/>
        <w:ind w:left="0"/>
        <w:rPr>
          <w:rFonts w:hint="eastAsia"/>
        </w:rPr>
      </w:pPr>
      <w:r>
        <w:t>5. Final state recommendations and map interpretation</w:t>
      </w:r>
    </w:p>
    <w:p w:rsidR="001B26A1" w:rsidRDefault="00000000" w14:paraId="16A38A71" w14:textId="77777777">
      <w:pPr>
        <w:pStyle w:val="a0"/>
        <w:ind w:left="0"/>
        <w:rPr>
          <w:rFonts w:hint="eastAsia"/>
        </w:rPr>
      </w:pPr>
      <w:r>
        <w:t>6. Short-term and long-term profit scenarios</w:t>
      </w:r>
    </w:p>
    <w:p w:rsidR="001B26A1" w:rsidRDefault="00000000" w14:paraId="1B02C607" w14:textId="77777777">
      <w:pPr>
        <w:pStyle w:val="a0"/>
        <w:ind w:left="0"/>
        <w:rPr>
          <w:rFonts w:hint="eastAsia"/>
        </w:rPr>
      </w:pPr>
      <w:r>
        <w:t>7. Conclusions and managerial implications</w:t>
      </w:r>
    </w:p>
    <w:p w:rsidR="001B26A1" w:rsidRDefault="00000000" w14:paraId="5473BE21" w14:textId="77777777">
      <w:pPr>
        <w:rPr>
          <w:rFonts w:hint="eastAsia"/>
        </w:rPr>
      </w:pPr>
      <w:r>
        <w:br w:type="page"/>
      </w:r>
    </w:p>
    <w:p w:rsidR="001B26A1" w:rsidRDefault="00000000" w14:paraId="7751CBAE" w14:textId="77777777">
      <w:pPr>
        <w:spacing w:after="160"/>
        <w:rPr>
          <w:rFonts w:hint="eastAsia"/>
        </w:rPr>
      </w:pPr>
      <w:r>
        <w:rPr>
          <w:b/>
          <w:color w:val="1F4E79"/>
          <w:sz w:val="32"/>
        </w:rPr>
        <w:t>1. Objective and Workflow</w:t>
      </w:r>
    </w:p>
    <w:p w:rsidR="001B26A1" w:rsidP="00BE740B" w:rsidRDefault="00000000" w14:paraId="17FFCE4C" w14:textId="77777777">
      <w:pPr>
        <w:spacing w:after="120"/>
        <w:rPr>
          <w:rFonts w:hint="eastAsia"/>
        </w:rPr>
      </w:pPr>
      <w:r>
        <w:rPr>
          <w:sz w:val="22"/>
        </w:rPr>
        <w:t xml:space="preserve">The purpose of the second-stage analysis was to convert a state-level EV market segmentation study into an actionable Toyota network expansion framework. </w:t>
      </w:r>
      <w:r>
        <w:rPr>
          <w:sz w:val="22"/>
        </w:rPr>
        <w:br/>
      </w:r>
      <w:r>
        <w:rPr>
          <w:sz w:val="22"/>
        </w:rPr>
        <w:t xml:space="preserve">The work proceeded in four connected steps. First, the outputs from the clustering study were converted into state-level indicators and merged back into the city-level input table. </w:t>
      </w:r>
      <w:r>
        <w:rPr>
          <w:sz w:val="22"/>
        </w:rPr>
        <w:br/>
      </w:r>
      <w:r>
        <w:rPr>
          <w:sz w:val="22"/>
        </w:rPr>
        <w:t xml:space="preserve">Second, a classification model was built to identify cities with a high probability of supporting at least one Toyota dealer. </w:t>
      </w:r>
      <w:r>
        <w:rPr>
          <w:sz w:val="22"/>
        </w:rPr>
        <w:br/>
      </w:r>
      <w:r>
        <w:rPr>
          <w:sz w:val="22"/>
        </w:rPr>
        <w:t xml:space="preserve">Third, a count model was trained on cities that already had dealers in order to estimate how many dealers a city could plausibly sustain. </w:t>
      </w:r>
      <w:r>
        <w:rPr>
          <w:sz w:val="22"/>
        </w:rPr>
        <w:br/>
      </w:r>
      <w:r>
        <w:rPr>
          <w:sz w:val="22"/>
        </w:rPr>
        <w:t>Finally, the resulting recommendation set was translated into annual rollout and multi-year profit scenarios.</w:t>
      </w:r>
    </w:p>
    <w:p w:rsidR="001B26A1" w:rsidP="00BE740B" w:rsidRDefault="00000000" w14:paraId="4B99E54B" w14:textId="77777777">
      <w:pPr>
        <w:pStyle w:val="a0"/>
        <w:ind w:left="0"/>
        <w:rPr>
          <w:rFonts w:hint="eastAsia"/>
        </w:rPr>
      </w:pPr>
      <w:r>
        <w:t>Clustering insight layer: use state clusters and cluster summary scores to distinguish mature, emerging, niche, and rural EV markets.</w:t>
      </w:r>
    </w:p>
    <w:p w:rsidR="001B26A1" w:rsidP="00BE740B" w:rsidRDefault="00000000" w14:paraId="69FE441D" w14:textId="77777777">
      <w:pPr>
        <w:pStyle w:val="a0"/>
        <w:ind w:left="0"/>
        <w:rPr>
          <w:rFonts w:hint="eastAsia"/>
        </w:rPr>
      </w:pPr>
      <w:r>
        <w:t>City entry screening: predict whether a city should plausibly host a Toyota dealer.</w:t>
      </w:r>
    </w:p>
    <w:p w:rsidR="001B26A1" w:rsidP="00BE740B" w:rsidRDefault="00000000" w14:paraId="5A87EC84" w14:textId="77777777">
      <w:pPr>
        <w:pStyle w:val="a0"/>
        <w:ind w:left="0"/>
        <w:rPr>
          <w:rFonts w:hint="eastAsia"/>
        </w:rPr>
      </w:pPr>
      <w:r>
        <w:t>Capacity estimation: for cities with dealer_count &gt; 0, estimate the number of dealers supportable by the local market.</w:t>
      </w:r>
    </w:p>
    <w:p w:rsidR="001B26A1" w:rsidP="00BE740B" w:rsidRDefault="00000000" w14:paraId="2B8977F2" w14:textId="77777777">
      <w:pPr>
        <w:pStyle w:val="a0"/>
        <w:ind w:left="0"/>
        <w:rPr>
          <w:rFonts w:hint="eastAsia"/>
        </w:rPr>
      </w:pPr>
      <w:r>
        <w:t>Rollout and finance layer: aggregate recommendations and phase them into short-run and long-run expansion scenarios.</w:t>
      </w:r>
    </w:p>
    <w:p w:rsidR="001B26A1" w:rsidRDefault="00000000" w14:paraId="53CB3948" w14:textId="77777777">
      <w:pPr>
        <w:spacing w:after="160"/>
        <w:rPr>
          <w:rFonts w:hint="eastAsia"/>
        </w:rPr>
      </w:pPr>
      <w:r>
        <w:rPr>
          <w:b/>
          <w:color w:val="1F4E79"/>
          <w:sz w:val="32"/>
        </w:rPr>
        <w:t>2. Data Integration: From State Clustering to a City-Level Modelling Table</w:t>
      </w:r>
    </w:p>
    <w:p w:rsidR="001B26A1" w:rsidP="00BE740B" w:rsidRDefault="00000000" w14:paraId="36616C1A" w14:textId="77777777">
      <w:pPr>
        <w:spacing w:after="120"/>
        <w:rPr>
          <w:rFonts w:hint="eastAsia"/>
        </w:rPr>
      </w:pPr>
      <w:r>
        <w:rPr>
          <w:sz w:val="22"/>
        </w:rPr>
        <w:t xml:space="preserve">The first-stage clustering report identified five reduced state market structures. </w:t>
      </w:r>
      <w:r>
        <w:rPr>
          <w:sz w:val="22"/>
        </w:rPr>
        <w:br/>
      </w:r>
      <w:r>
        <w:rPr>
          <w:sz w:val="22"/>
        </w:rPr>
        <w:t xml:space="preserve">The analysis characterised Cluster 1 as mature EV markets with strong demand, high urbanisation, and advanced infrastructure; Cluster 0 as the main emerging segment; Cluster 2 as an urban outlier; Cluster 3 as an infrastructure-heavy niche; and Cluster 4 as low-adoption rural markets. </w:t>
      </w:r>
      <w:r>
        <w:rPr>
          <w:sz w:val="22"/>
        </w:rPr>
        <w:br/>
      </w:r>
      <w:r>
        <w:rPr>
          <w:sz w:val="22"/>
        </w:rPr>
        <w:t>These state-level results were not kept as a separate strategic memo only; instead, they were operationalised as modelling features and merged into the city-level dataset.</w:t>
      </w:r>
    </w:p>
    <w:p w:rsidR="001B26A1" w:rsidRDefault="00000000" w14:paraId="527CFF54" w14:textId="77777777">
      <w:pPr>
        <w:spacing w:after="120"/>
        <w:rPr>
          <w:rFonts w:hint="eastAsia"/>
        </w:rPr>
      </w:pPr>
      <w:r>
        <w:rPr>
          <w:b/>
          <w:color w:val="1F4E79"/>
          <w:sz w:val="25"/>
        </w:rPr>
        <w:t>2.1 State-level clustering outputs added to the modelling table</w:t>
      </w:r>
    </w:p>
    <w:tbl>
      <w:tblPr>
        <w:tblStyle w:val="aff1"/>
        <w:tblW w:w="0" w:type="auto"/>
        <w:jc w:val="center"/>
        <w:tblLook w:val="04A0" w:firstRow="1" w:lastRow="0" w:firstColumn="1" w:lastColumn="0" w:noHBand="0" w:noVBand="1"/>
      </w:tblPr>
      <w:tblGrid>
        <w:gridCol w:w="3202"/>
        <w:gridCol w:w="3202"/>
        <w:gridCol w:w="3202"/>
      </w:tblGrid>
      <w:tr w:rsidR="001B26A1" w14:paraId="0D05423A" w14:textId="77777777">
        <w:trPr>
          <w:tblHeader/>
          <w:jc w:val="center"/>
        </w:trPr>
        <w:tc>
          <w:tcPr>
            <w:tcW w:w="3202" w:type="dxa"/>
            <w:shd w:val="clear" w:color="auto" w:fill="D9E2F3"/>
            <w:vAlign w:val="center"/>
          </w:tcPr>
          <w:p w:rsidR="001B26A1" w:rsidRDefault="00000000" w14:paraId="205C2A36" w14:textId="77777777">
            <w:pPr>
              <w:jc w:val="center"/>
              <w:rPr>
                <w:rFonts w:hint="eastAsia"/>
              </w:rPr>
            </w:pPr>
            <w:r>
              <w:rPr>
                <w:b/>
                <w:sz w:val="18"/>
              </w:rPr>
              <w:t>Added field</w:t>
            </w:r>
          </w:p>
        </w:tc>
        <w:tc>
          <w:tcPr>
            <w:tcW w:w="3202" w:type="dxa"/>
            <w:shd w:val="clear" w:color="auto" w:fill="D9E2F3"/>
            <w:vAlign w:val="center"/>
          </w:tcPr>
          <w:p w:rsidR="001B26A1" w:rsidRDefault="00000000" w14:paraId="0ACC144A" w14:textId="77777777">
            <w:pPr>
              <w:jc w:val="center"/>
              <w:rPr>
                <w:rFonts w:hint="eastAsia"/>
              </w:rPr>
            </w:pPr>
            <w:r>
              <w:rPr>
                <w:b/>
                <w:sz w:val="18"/>
              </w:rPr>
              <w:t>Meaning</w:t>
            </w:r>
          </w:p>
        </w:tc>
        <w:tc>
          <w:tcPr>
            <w:tcW w:w="3202" w:type="dxa"/>
            <w:shd w:val="clear" w:color="auto" w:fill="D9E2F3"/>
            <w:vAlign w:val="center"/>
          </w:tcPr>
          <w:p w:rsidR="001B26A1" w:rsidRDefault="00000000" w14:paraId="523316F9" w14:textId="77777777">
            <w:pPr>
              <w:jc w:val="center"/>
              <w:rPr>
                <w:rFonts w:hint="eastAsia"/>
              </w:rPr>
            </w:pPr>
            <w:r>
              <w:rPr>
                <w:b/>
                <w:sz w:val="18"/>
              </w:rPr>
              <w:t>Role in modelling</w:t>
            </w:r>
          </w:p>
        </w:tc>
      </w:tr>
      <w:tr w:rsidR="001B26A1" w14:paraId="19A3DE6B" w14:textId="77777777">
        <w:trPr>
          <w:jc w:val="center"/>
        </w:trPr>
        <w:tc>
          <w:tcPr>
            <w:tcW w:w="3202" w:type="dxa"/>
            <w:vAlign w:val="center"/>
          </w:tcPr>
          <w:p w:rsidR="001B26A1" w:rsidRDefault="00000000" w14:paraId="1DCA5089" w14:textId="77777777">
            <w:pPr>
              <w:rPr>
                <w:rFonts w:hint="eastAsia"/>
              </w:rPr>
            </w:pPr>
            <w:r>
              <w:rPr>
                <w:sz w:val="18"/>
              </w:rPr>
              <w:t>cluster_reduced</w:t>
            </w:r>
          </w:p>
        </w:tc>
        <w:tc>
          <w:tcPr>
            <w:tcW w:w="3202" w:type="dxa"/>
            <w:vAlign w:val="center"/>
          </w:tcPr>
          <w:p w:rsidR="001B26A1" w:rsidRDefault="00000000" w14:paraId="75806AB6" w14:textId="77777777">
            <w:pPr>
              <w:rPr>
                <w:rFonts w:hint="eastAsia"/>
              </w:rPr>
            </w:pPr>
            <w:r>
              <w:rPr>
                <w:sz w:val="18"/>
              </w:rPr>
              <w:t>Reduced state cluster after consolidation of the clustering results</w:t>
            </w:r>
          </w:p>
        </w:tc>
        <w:tc>
          <w:tcPr>
            <w:tcW w:w="3202" w:type="dxa"/>
            <w:vAlign w:val="center"/>
          </w:tcPr>
          <w:p w:rsidR="001B26A1" w:rsidRDefault="00000000" w14:paraId="5A8ACB3E" w14:textId="77777777">
            <w:pPr>
              <w:rPr>
                <w:rFonts w:hint="eastAsia"/>
              </w:rPr>
            </w:pPr>
            <w:r>
              <w:rPr>
                <w:sz w:val="18"/>
              </w:rPr>
              <w:t>Categorical market-structure signal</w:t>
            </w:r>
          </w:p>
        </w:tc>
      </w:tr>
      <w:tr w:rsidR="001B26A1" w14:paraId="1C43D246" w14:textId="77777777">
        <w:trPr>
          <w:jc w:val="center"/>
        </w:trPr>
        <w:tc>
          <w:tcPr>
            <w:tcW w:w="3202" w:type="dxa"/>
            <w:vAlign w:val="center"/>
          </w:tcPr>
          <w:p w:rsidR="001B26A1" w:rsidRDefault="00000000" w14:paraId="3E9880FE" w14:textId="77777777">
            <w:pPr>
              <w:rPr>
                <w:rFonts w:hint="eastAsia"/>
              </w:rPr>
            </w:pPr>
            <w:r>
              <w:rPr>
                <w:sz w:val="18"/>
              </w:rPr>
              <w:t>demand_score</w:t>
            </w:r>
          </w:p>
        </w:tc>
        <w:tc>
          <w:tcPr>
            <w:tcW w:w="3202" w:type="dxa"/>
            <w:vAlign w:val="center"/>
          </w:tcPr>
          <w:p w:rsidR="001B26A1" w:rsidRDefault="00000000" w14:paraId="7B996D1B" w14:textId="77777777">
            <w:pPr>
              <w:rPr>
                <w:rFonts w:hint="eastAsia"/>
              </w:rPr>
            </w:pPr>
            <w:r>
              <w:rPr>
                <w:sz w:val="18"/>
              </w:rPr>
              <w:t>State EV demand fundamentals score</w:t>
            </w:r>
          </w:p>
        </w:tc>
        <w:tc>
          <w:tcPr>
            <w:tcW w:w="3202" w:type="dxa"/>
            <w:vAlign w:val="center"/>
          </w:tcPr>
          <w:p w:rsidR="001B26A1" w:rsidRDefault="00000000" w14:paraId="47FBA709" w14:textId="77777777">
            <w:pPr>
              <w:rPr>
                <w:rFonts w:hint="eastAsia"/>
              </w:rPr>
            </w:pPr>
            <w:r>
              <w:rPr>
                <w:sz w:val="18"/>
              </w:rPr>
              <w:t>Part of state prioritisation and FE diagnostics</w:t>
            </w:r>
          </w:p>
        </w:tc>
      </w:tr>
      <w:tr w:rsidR="001B26A1" w14:paraId="5C57DB20" w14:textId="77777777">
        <w:trPr>
          <w:jc w:val="center"/>
        </w:trPr>
        <w:tc>
          <w:tcPr>
            <w:tcW w:w="3202" w:type="dxa"/>
            <w:vAlign w:val="center"/>
          </w:tcPr>
          <w:p w:rsidR="001B26A1" w:rsidRDefault="00000000" w14:paraId="70E67E46" w14:textId="77777777">
            <w:pPr>
              <w:rPr>
                <w:rFonts w:hint="eastAsia"/>
              </w:rPr>
            </w:pPr>
            <w:r>
              <w:rPr>
                <w:sz w:val="18"/>
              </w:rPr>
              <w:t>supply_score</w:t>
            </w:r>
          </w:p>
        </w:tc>
        <w:tc>
          <w:tcPr>
            <w:tcW w:w="3202" w:type="dxa"/>
            <w:vAlign w:val="center"/>
          </w:tcPr>
          <w:p w:rsidR="001B26A1" w:rsidRDefault="00000000" w14:paraId="55874222" w14:textId="77777777">
            <w:pPr>
              <w:rPr>
                <w:rFonts w:hint="eastAsia"/>
              </w:rPr>
            </w:pPr>
            <w:r>
              <w:rPr>
                <w:sz w:val="18"/>
              </w:rPr>
              <w:t>Charging infrastructure provision score</w:t>
            </w:r>
          </w:p>
        </w:tc>
        <w:tc>
          <w:tcPr>
            <w:tcW w:w="3202" w:type="dxa"/>
            <w:vAlign w:val="center"/>
          </w:tcPr>
          <w:p w:rsidR="001B26A1" w:rsidRDefault="00000000" w14:paraId="4100F22F" w14:textId="77777777">
            <w:pPr>
              <w:rPr>
                <w:rFonts w:hint="eastAsia"/>
              </w:rPr>
            </w:pPr>
            <w:r>
              <w:rPr>
                <w:sz w:val="18"/>
              </w:rPr>
              <w:t>Part of state prioritisation and FE diagnostics</w:t>
            </w:r>
          </w:p>
        </w:tc>
      </w:tr>
      <w:tr w:rsidR="001B26A1" w14:paraId="52ED82E2" w14:textId="77777777">
        <w:trPr>
          <w:jc w:val="center"/>
        </w:trPr>
        <w:tc>
          <w:tcPr>
            <w:tcW w:w="3202" w:type="dxa"/>
            <w:vAlign w:val="center"/>
          </w:tcPr>
          <w:p w:rsidR="001B26A1" w:rsidRDefault="00000000" w14:paraId="317E439A" w14:textId="77777777">
            <w:pPr>
              <w:rPr>
                <w:rFonts w:hint="eastAsia"/>
              </w:rPr>
            </w:pPr>
            <w:r>
              <w:rPr>
                <w:sz w:val="18"/>
              </w:rPr>
              <w:t>pressure_score</w:t>
            </w:r>
          </w:p>
        </w:tc>
        <w:tc>
          <w:tcPr>
            <w:tcW w:w="3202" w:type="dxa"/>
            <w:vAlign w:val="center"/>
          </w:tcPr>
          <w:p w:rsidR="001B26A1" w:rsidRDefault="00000000" w14:paraId="53F430C7" w14:textId="77777777">
            <w:pPr>
              <w:rPr>
                <w:rFonts w:hint="eastAsia"/>
              </w:rPr>
            </w:pPr>
            <w:r>
              <w:rPr>
                <w:sz w:val="18"/>
              </w:rPr>
              <w:t>Infrastructure pressure / utilisation score</w:t>
            </w:r>
          </w:p>
        </w:tc>
        <w:tc>
          <w:tcPr>
            <w:tcW w:w="3202" w:type="dxa"/>
            <w:vAlign w:val="center"/>
          </w:tcPr>
          <w:p w:rsidR="001B26A1" w:rsidRDefault="00000000" w14:paraId="5A002738" w14:textId="77777777">
            <w:pPr>
              <w:rPr>
                <w:rFonts w:hint="eastAsia"/>
              </w:rPr>
            </w:pPr>
            <w:r>
              <w:rPr>
                <w:sz w:val="18"/>
              </w:rPr>
              <w:t>Part of state prioritisation and FE diagnostics</w:t>
            </w:r>
          </w:p>
        </w:tc>
      </w:tr>
      <w:tr w:rsidR="001B26A1" w14:paraId="6059A6A2" w14:textId="77777777">
        <w:trPr>
          <w:jc w:val="center"/>
        </w:trPr>
        <w:tc>
          <w:tcPr>
            <w:tcW w:w="3202" w:type="dxa"/>
            <w:vAlign w:val="center"/>
          </w:tcPr>
          <w:p w:rsidR="001B26A1" w:rsidRDefault="00000000" w14:paraId="7CC2F562" w14:textId="77777777">
            <w:pPr>
              <w:rPr>
                <w:rFonts w:hint="eastAsia"/>
              </w:rPr>
            </w:pPr>
            <w:r>
              <w:rPr>
                <w:sz w:val="18"/>
              </w:rPr>
              <w:t>growth_potential_score</w:t>
            </w:r>
          </w:p>
        </w:tc>
        <w:tc>
          <w:tcPr>
            <w:tcW w:w="3202" w:type="dxa"/>
            <w:vAlign w:val="center"/>
          </w:tcPr>
          <w:p w:rsidR="001B26A1" w:rsidRDefault="00000000" w14:paraId="5E4CB646" w14:textId="77777777">
            <w:pPr>
              <w:rPr>
                <w:rFonts w:hint="eastAsia"/>
              </w:rPr>
            </w:pPr>
            <w:r>
              <w:rPr>
                <w:sz w:val="18"/>
              </w:rPr>
              <w:t>Combined demand-pressure opportunity score</w:t>
            </w:r>
          </w:p>
        </w:tc>
        <w:tc>
          <w:tcPr>
            <w:tcW w:w="3202" w:type="dxa"/>
            <w:vAlign w:val="center"/>
          </w:tcPr>
          <w:p w:rsidR="001B26A1" w:rsidRDefault="00000000" w14:paraId="3FF97711" w14:textId="77777777">
            <w:pPr>
              <w:rPr>
                <w:rFonts w:hint="eastAsia"/>
              </w:rPr>
            </w:pPr>
            <w:r>
              <w:rPr>
                <w:sz w:val="18"/>
              </w:rPr>
              <w:t>Strategic expansion signal</w:t>
            </w:r>
          </w:p>
        </w:tc>
      </w:tr>
      <w:tr w:rsidR="001B26A1" w14:paraId="4CE877A3" w14:textId="77777777">
        <w:trPr>
          <w:jc w:val="center"/>
        </w:trPr>
        <w:tc>
          <w:tcPr>
            <w:tcW w:w="3202" w:type="dxa"/>
            <w:vAlign w:val="center"/>
          </w:tcPr>
          <w:p w:rsidR="001B26A1" w:rsidRDefault="00000000" w14:paraId="6A5A7E6C" w14:textId="77777777">
            <w:pPr>
              <w:rPr>
                <w:rFonts w:hint="eastAsia"/>
              </w:rPr>
            </w:pPr>
            <w:r>
              <w:rPr>
                <w:sz w:val="18"/>
              </w:rPr>
              <w:t>state_priority_score</w:t>
            </w:r>
          </w:p>
        </w:tc>
        <w:tc>
          <w:tcPr>
            <w:tcW w:w="3202" w:type="dxa"/>
            <w:vAlign w:val="center"/>
          </w:tcPr>
          <w:p w:rsidR="001B26A1" w:rsidRDefault="00000000" w14:paraId="2CB0F2D1" w14:textId="77777777">
            <w:pPr>
              <w:rPr>
                <w:rFonts w:hint="eastAsia"/>
              </w:rPr>
            </w:pPr>
            <w:r>
              <w:rPr>
                <w:sz w:val="18"/>
              </w:rPr>
              <w:t>Composite state ranking score</w:t>
            </w:r>
          </w:p>
        </w:tc>
        <w:tc>
          <w:tcPr>
            <w:tcW w:w="3202" w:type="dxa"/>
            <w:vAlign w:val="center"/>
          </w:tcPr>
          <w:p w:rsidR="001B26A1" w:rsidRDefault="00000000" w14:paraId="1B5FFFE3" w14:textId="77777777">
            <w:pPr>
              <w:rPr>
                <w:rFonts w:hint="eastAsia"/>
              </w:rPr>
            </w:pPr>
            <w:r>
              <w:rPr>
                <w:sz w:val="18"/>
              </w:rPr>
              <w:t>Compact state-level prioritisation feature</w:t>
            </w:r>
          </w:p>
        </w:tc>
      </w:tr>
      <w:tr w:rsidR="001B26A1" w14:paraId="3FDFBAC7" w14:textId="77777777">
        <w:trPr>
          <w:jc w:val="center"/>
        </w:trPr>
        <w:tc>
          <w:tcPr>
            <w:tcW w:w="3202" w:type="dxa"/>
            <w:vAlign w:val="center"/>
          </w:tcPr>
          <w:p w:rsidR="001B26A1" w:rsidRDefault="00000000" w14:paraId="0D428FB2" w14:textId="77777777">
            <w:pPr>
              <w:rPr>
                <w:rFonts w:hint="eastAsia"/>
              </w:rPr>
            </w:pPr>
            <w:r>
              <w:rPr>
                <w:sz w:val="18"/>
              </w:rPr>
              <w:t>market_type</w:t>
            </w:r>
          </w:p>
        </w:tc>
        <w:tc>
          <w:tcPr>
            <w:tcW w:w="3202" w:type="dxa"/>
            <w:vAlign w:val="center"/>
          </w:tcPr>
          <w:p w:rsidR="001B26A1" w:rsidRDefault="00000000" w14:paraId="4D8F4D38" w14:textId="77777777">
            <w:pPr>
              <w:rPr>
                <w:rFonts w:hint="eastAsia"/>
              </w:rPr>
            </w:pPr>
            <w:r>
              <w:rPr>
                <w:sz w:val="18"/>
              </w:rPr>
              <w:t>Interpretive state label (e.g., Mature EV markets, Emerging EV markets)</w:t>
            </w:r>
          </w:p>
        </w:tc>
        <w:tc>
          <w:tcPr>
            <w:tcW w:w="3202" w:type="dxa"/>
            <w:vAlign w:val="center"/>
          </w:tcPr>
          <w:p w:rsidR="001B26A1" w:rsidRDefault="00000000" w14:paraId="0D9247F8" w14:textId="77777777">
            <w:pPr>
              <w:rPr>
                <w:rFonts w:hint="eastAsia"/>
              </w:rPr>
            </w:pPr>
            <w:r>
              <w:rPr>
                <w:sz w:val="18"/>
              </w:rPr>
              <w:t>Business interpretation</w:t>
            </w:r>
          </w:p>
        </w:tc>
      </w:tr>
      <w:tr w:rsidR="001B26A1" w14:paraId="18AC1A90" w14:textId="77777777">
        <w:trPr>
          <w:jc w:val="center"/>
        </w:trPr>
        <w:tc>
          <w:tcPr>
            <w:tcW w:w="3202" w:type="dxa"/>
            <w:vAlign w:val="center"/>
          </w:tcPr>
          <w:p w:rsidR="001B26A1" w:rsidRDefault="00000000" w14:paraId="050D3B4A" w14:textId="77777777">
            <w:pPr>
              <w:rPr>
                <w:rFonts w:hint="eastAsia"/>
              </w:rPr>
            </w:pPr>
            <w:r>
              <w:rPr>
                <w:sz w:val="18"/>
              </w:rPr>
              <w:t>expansion_priority_band</w:t>
            </w:r>
          </w:p>
        </w:tc>
        <w:tc>
          <w:tcPr>
            <w:tcW w:w="3202" w:type="dxa"/>
            <w:vAlign w:val="center"/>
          </w:tcPr>
          <w:p w:rsidR="001B26A1" w:rsidRDefault="00000000" w14:paraId="67A834F0" w14:textId="77777777">
            <w:pPr>
              <w:rPr>
                <w:rFonts w:hint="eastAsia"/>
              </w:rPr>
            </w:pPr>
            <w:r>
              <w:rPr>
                <w:sz w:val="18"/>
              </w:rPr>
              <w:t>High / Medium / Low / Non-target band</w:t>
            </w:r>
          </w:p>
        </w:tc>
        <w:tc>
          <w:tcPr>
            <w:tcW w:w="3202" w:type="dxa"/>
            <w:vAlign w:val="center"/>
          </w:tcPr>
          <w:p w:rsidR="001B26A1" w:rsidRDefault="00000000" w14:paraId="3B03B7B9" w14:textId="77777777">
            <w:pPr>
              <w:rPr>
                <w:rFonts w:hint="eastAsia"/>
              </w:rPr>
            </w:pPr>
            <w:r>
              <w:rPr>
                <w:sz w:val="18"/>
              </w:rPr>
              <w:t>Strategic presentation and rollout interpretation</w:t>
            </w:r>
          </w:p>
        </w:tc>
      </w:tr>
    </w:tbl>
    <w:p w:rsidR="001B26A1" w:rsidRDefault="001B26A1" w14:paraId="1D83BE70" w14:textId="77777777">
      <w:pPr>
        <w:rPr>
          <w:rFonts w:hint="eastAsia"/>
        </w:rPr>
      </w:pPr>
    </w:p>
    <w:p w:rsidR="001B26A1" w:rsidP="00BE740B" w:rsidRDefault="00000000" w14:paraId="622D8409" w14:textId="77777777">
      <w:pPr>
        <w:spacing w:after="120"/>
        <w:rPr>
          <w:rFonts w:hint="eastAsia"/>
        </w:rPr>
      </w:pPr>
      <w:r>
        <w:rPr>
          <w:sz w:val="22"/>
        </w:rPr>
        <w:t xml:space="preserve">After the state-level attributes were generated, they were merged into the city-level dataset together with detailed city characteristics and current dealer counts. </w:t>
      </w:r>
      <w:r>
        <w:rPr>
          <w:sz w:val="22"/>
        </w:rPr>
        <w:br/>
      </w:r>
      <w:r>
        <w:rPr>
          <w:sz w:val="22"/>
        </w:rPr>
        <w:t>The purpose of this merge was to produce a single city-state modelling table in which every row described both a local city market and the broader state market context.</w:t>
      </w:r>
    </w:p>
    <w:p w:rsidR="001B26A1" w:rsidRDefault="00000000" w14:paraId="072F33B3" w14:textId="77777777">
      <w:pPr>
        <w:jc w:val="center"/>
        <w:rPr>
          <w:rFonts w:hint="eastAsia"/>
        </w:rPr>
      </w:pPr>
      <w:r>
        <w:rPr>
          <w:noProof/>
        </w:rPr>
        <w:drawing>
          <wp:inline distT="0" distB="0" distL="0" distR="0" wp14:anchorId="5742200D" wp14:editId="1ED483A4">
            <wp:extent cx="6035040" cy="7075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7581c6-33f2-494f-b5f3-669e93af530b.png"/>
                    <pic:cNvPicPr/>
                  </pic:nvPicPr>
                  <pic:blipFill>
                    <a:blip r:embed="rId6"/>
                    <a:stretch>
                      <a:fillRect/>
                    </a:stretch>
                  </pic:blipFill>
                  <pic:spPr>
                    <a:xfrm>
                      <a:off x="0" y="0"/>
                      <a:ext cx="6035040" cy="7075564"/>
                    </a:xfrm>
                    <a:prstGeom prst="rect">
                      <a:avLst/>
                    </a:prstGeom>
                  </pic:spPr>
                </pic:pic>
              </a:graphicData>
            </a:graphic>
          </wp:inline>
        </w:drawing>
      </w:r>
    </w:p>
    <w:p w:rsidR="001B26A1" w:rsidRDefault="00000000" w14:paraId="38DF191E" w14:textId="77777777">
      <w:pPr>
        <w:jc w:val="center"/>
        <w:rPr>
          <w:rFonts w:hint="eastAsia"/>
        </w:rPr>
      </w:pPr>
      <w:r>
        <w:rPr>
          <w:i/>
          <w:sz w:val="18"/>
        </w:rPr>
        <w:t>Figure 1. Example preview of the merged city-state modelling table after adding clustering-derived state indicators.</w:t>
      </w:r>
    </w:p>
    <w:p w:rsidR="001B26A1" w:rsidRDefault="00000000" w14:paraId="61D36B7D" w14:textId="77777777">
      <w:pPr>
        <w:spacing w:after="120"/>
        <w:rPr>
          <w:rFonts w:hint="eastAsia"/>
        </w:rPr>
      </w:pPr>
      <w:r>
        <w:rPr>
          <w:b/>
          <w:color w:val="1F4E79"/>
          <w:sz w:val="25"/>
        </w:rPr>
        <w:t>2.2 Data cleaning and merge checks</w:t>
      </w:r>
    </w:p>
    <w:p w:rsidR="001B26A1" w:rsidRDefault="00000000" w14:paraId="06CF8137" w14:textId="77777777">
      <w:pPr>
        <w:pStyle w:val="a0"/>
        <w:ind w:left="0"/>
        <w:rPr>
          <w:rFonts w:hint="eastAsia"/>
        </w:rPr>
      </w:pPr>
      <w:r>
        <w:t>The merge was keyed by city and state, rather than by city name only, because many U.S. city names are duplicated across states.</w:t>
      </w:r>
    </w:p>
    <w:p w:rsidR="001B26A1" w:rsidRDefault="00000000" w14:paraId="619CD68C" w14:textId="77777777">
      <w:pPr>
        <w:pStyle w:val="a0"/>
        <w:ind w:left="0"/>
        <w:rPr>
          <w:rFonts w:hint="eastAsia"/>
        </w:rPr>
      </w:pPr>
      <w:r>
        <w:t>Puerto Rico was dropped from the modelling stage because the state-level clustering table covered 51 states/jurisdictions while Puerto Rico remained unmatched in the cluster variables.</w:t>
      </w:r>
    </w:p>
    <w:p w:rsidR="001B26A1" w:rsidRDefault="00000000" w14:paraId="58DFA235" w14:textId="77777777">
      <w:pPr>
        <w:pStyle w:val="a0"/>
        <w:ind w:left="0"/>
        <w:rPr>
          <w:rFonts w:hint="eastAsia"/>
        </w:rPr>
      </w:pPr>
      <w:r>
        <w:t>A city-state grouped split was used in all subsequent modelling steps so that the same city did not appear across train, validation, and test sets.</w:t>
      </w:r>
    </w:p>
    <w:p w:rsidR="001B26A1" w:rsidRDefault="00000000" w14:paraId="165EB3EE" w14:textId="77777777">
      <w:pPr>
        <w:spacing w:after="120"/>
        <w:jc w:val="both"/>
        <w:rPr>
          <w:rFonts w:hint="eastAsia"/>
        </w:rPr>
      </w:pPr>
      <w:r>
        <w:rPr>
          <w:sz w:val="22"/>
        </w:rPr>
        <w:t xml:space="preserve">The final city-state modelling table used for supervised learning contained approximately 30,976 rows after excluding Puerto Rico, with about 1,037 positive dealer rows. </w:t>
      </w:r>
      <w:r>
        <w:rPr>
          <w:sz w:val="22"/>
        </w:rPr>
        <w:br/>
      </w:r>
      <w:r>
        <w:rPr>
          <w:sz w:val="22"/>
        </w:rPr>
        <w:t>This immediately implied two constraints for the modelling strategy: strong class imbalance in the classification task and a highly skewed dealer-count distribution in the regression task.</w:t>
      </w:r>
    </w:p>
    <w:p w:rsidR="001B26A1" w:rsidRDefault="00000000" w14:paraId="4A2981C9" w14:textId="77777777">
      <w:pPr>
        <w:spacing w:after="160"/>
        <w:rPr>
          <w:rFonts w:hint="eastAsia"/>
        </w:rPr>
      </w:pPr>
      <w:r>
        <w:rPr>
          <w:b/>
          <w:color w:val="1F4E79"/>
          <w:sz w:val="32"/>
        </w:rPr>
        <w:t>3. Stage 1 Classification Model for Dealership Presence</w:t>
      </w:r>
    </w:p>
    <w:p w:rsidR="001B26A1" w:rsidRDefault="00000000" w14:paraId="3564CB12" w14:textId="77777777">
      <w:pPr>
        <w:spacing w:after="120"/>
        <w:rPr>
          <w:rFonts w:hint="eastAsia"/>
        </w:rPr>
      </w:pPr>
      <w:r>
        <w:rPr>
          <w:b/>
          <w:color w:val="1F4E79"/>
          <w:sz w:val="25"/>
        </w:rPr>
        <w:t>3.1 Target definition and model equation</w:t>
      </w:r>
    </w:p>
    <w:p w:rsidR="001B26A1" w:rsidRDefault="00000000" w14:paraId="76CF3D37" w14:textId="77777777">
      <w:pPr>
        <w:spacing w:after="120"/>
        <w:jc w:val="both"/>
        <w:rPr>
          <w:rFonts w:hint="eastAsia"/>
        </w:rPr>
      </w:pPr>
      <w:r>
        <w:rPr>
          <w:sz w:val="22"/>
        </w:rPr>
        <w:t xml:space="preserve">Stage 1 asked a binary market-entry question: should a city plausibly host at least one Toyota dealership? </w:t>
      </w:r>
      <w:r>
        <w:rPr>
          <w:sz w:val="22"/>
        </w:rPr>
        <w:br/>
      </w:r>
      <w:r>
        <w:rPr>
          <w:sz w:val="22"/>
        </w:rPr>
        <w:t>The target variable was defined from the observed dealer count:</w:t>
      </w:r>
    </w:p>
    <w:p w:rsidR="001B26A1" w:rsidRDefault="00000000" w14:paraId="076C525B" w14:textId="77777777">
      <w:pPr>
        <w:spacing w:before="120" w:after="120"/>
        <w:ind w:left="432" w:right="288"/>
        <w:rPr>
          <w:rFonts w:hint="eastAsia"/>
        </w:rPr>
      </w:pPr>
      <w:r>
        <w:rPr>
          <w:rFonts w:ascii="Courier New" w:hAnsi="Courier New"/>
          <w:sz w:val="19"/>
        </w:rPr>
        <w:t>y_i = 1(dealer_count_i &gt; 0)</w:t>
      </w:r>
    </w:p>
    <w:p w:rsidR="001B26A1" w:rsidRDefault="00000000" w14:paraId="61A02BC6" w14:textId="77777777">
      <w:pPr>
        <w:spacing w:after="120"/>
        <w:jc w:val="both"/>
        <w:rPr>
          <w:rFonts w:hint="eastAsia"/>
        </w:rPr>
      </w:pPr>
      <w:r>
        <w:rPr>
          <w:sz w:val="22"/>
        </w:rPr>
        <w:t>A probabilistic classifier was then fitted to estimate the probability that a city supports dealer presence:</w:t>
      </w:r>
    </w:p>
    <w:p w:rsidR="001B26A1" w:rsidRDefault="00000000" w14:paraId="58BC260B" w14:textId="77777777">
      <w:pPr>
        <w:spacing w:before="120" w:after="120"/>
        <w:ind w:left="432" w:right="288"/>
        <w:rPr>
          <w:rFonts w:hint="eastAsia"/>
        </w:rPr>
      </w:pPr>
      <w:r>
        <w:rPr>
          <w:rFonts w:ascii="Courier New" w:hAnsi="Courier New"/>
          <w:sz w:val="19"/>
        </w:rPr>
        <w:t>p_i = P(y_i = 1 | x_i)</w:t>
      </w:r>
    </w:p>
    <w:p w:rsidR="001B26A1" w:rsidRDefault="00000000" w14:paraId="450C490A" w14:textId="77777777">
      <w:pPr>
        <w:spacing w:after="120"/>
        <w:jc w:val="both"/>
        <w:rPr>
          <w:rFonts w:hint="eastAsia"/>
        </w:rPr>
      </w:pPr>
      <w:r>
        <w:rPr>
          <w:sz w:val="22"/>
        </w:rPr>
        <w:t xml:space="preserve">The final implementation used a logistic regression classifier with class weighting and a tuned decision threshold. </w:t>
      </w:r>
      <w:r>
        <w:rPr>
          <w:sz w:val="22"/>
        </w:rPr>
        <w:br/>
      </w:r>
      <w:r>
        <w:rPr>
          <w:sz w:val="22"/>
        </w:rPr>
        <w:t>The probability model can be written as:</w:t>
      </w:r>
    </w:p>
    <w:p w:rsidR="001B26A1" w:rsidRDefault="00000000" w14:paraId="035AE4B2" w14:textId="77777777">
      <w:pPr>
        <w:spacing w:before="120" w:after="120"/>
        <w:ind w:left="432" w:right="288"/>
        <w:rPr>
          <w:rFonts w:hint="eastAsia"/>
        </w:rPr>
      </w:pPr>
      <w:r>
        <w:rPr>
          <w:rFonts w:ascii="Courier New" w:hAnsi="Courier New"/>
          <w:sz w:val="19"/>
        </w:rPr>
        <w:t>logit(p_i) = β0 + β' x_i ;    predict dealer presence if p_i &gt;= τ</w:t>
      </w:r>
    </w:p>
    <w:p w:rsidR="001B26A1" w:rsidP="00BE740B" w:rsidRDefault="00000000" w14:paraId="51042EE5" w14:textId="77777777">
      <w:pPr>
        <w:spacing w:after="120"/>
        <w:rPr>
          <w:rFonts w:hint="eastAsia"/>
        </w:rPr>
      </w:pPr>
      <w:r>
        <w:rPr>
          <w:sz w:val="22"/>
        </w:rPr>
        <w:t xml:space="preserve">The threshold τ was not fixed at 0.5. Instead, it was searched on the validation set using a business-oriented rule: maximise precision subject to recall being at least 0.75. </w:t>
      </w:r>
      <w:r>
        <w:rPr>
          <w:sz w:val="22"/>
        </w:rPr>
        <w:br/>
      </w:r>
      <w:r>
        <w:rPr>
          <w:sz w:val="22"/>
        </w:rPr>
        <w:t>This choice prioritised practical targeting while still requiring the model to capture most positive cities.</w:t>
      </w:r>
    </w:p>
    <w:p w:rsidR="001B26A1" w:rsidRDefault="00000000" w14:paraId="2887E3CE" w14:textId="77777777">
      <w:pPr>
        <w:spacing w:after="120"/>
        <w:rPr>
          <w:rFonts w:hint="eastAsia"/>
        </w:rPr>
      </w:pPr>
      <w:r>
        <w:rPr>
          <w:b/>
          <w:color w:val="1F4E79"/>
          <w:sz w:val="25"/>
        </w:rPr>
        <w:t>3.2 Feature engineering and leakage control</w:t>
      </w:r>
    </w:p>
    <w:p w:rsidR="001B26A1" w:rsidRDefault="00000000" w14:paraId="003B1CCC" w14:textId="77777777">
      <w:pPr>
        <w:pStyle w:val="a0"/>
        <w:ind w:left="0"/>
        <w:rPr>
          <w:rFonts w:hint="eastAsia"/>
        </w:rPr>
      </w:pPr>
      <w:r>
        <w:t>City-capacity variables were transformed using logarithms: log_population and log_density.</w:t>
      </w:r>
    </w:p>
    <w:p w:rsidR="001B26A1" w:rsidRDefault="00000000" w14:paraId="76CC721B" w14:textId="77777777">
      <w:pPr>
        <w:pStyle w:val="a0"/>
        <w:ind w:left="0"/>
        <w:rPr>
          <w:rFonts w:hint="eastAsia"/>
        </w:rPr>
      </w:pPr>
      <w:r>
        <w:t>Binary administrative indicators such as military and incorporated were kept as structured categorical signals.</w:t>
      </w:r>
    </w:p>
    <w:p w:rsidR="001B26A1" w:rsidRDefault="00000000" w14:paraId="1C427843" w14:textId="77777777">
      <w:pPr>
        <w:pStyle w:val="a0"/>
        <w:ind w:left="0"/>
        <w:rPr>
          <w:rFonts w:hint="eastAsia"/>
        </w:rPr>
      </w:pPr>
      <w:r>
        <w:t>State-level clustering outputs were added to test whether market structure improves city-level entry screening.</w:t>
      </w:r>
    </w:p>
    <w:p w:rsidR="001B26A1" w:rsidRDefault="00000000" w14:paraId="3D0C6D32" w14:textId="77777777">
      <w:pPr>
        <w:pStyle w:val="a0"/>
        <w:ind w:left="0"/>
        <w:rPr>
          <w:rFonts w:hint="eastAsia"/>
        </w:rPr>
      </w:pPr>
      <w:r>
        <w:t>A direct state-match style variable was removed after it created near-perfect performance, indicating information leakage rather than genuine predictive signal.</w:t>
      </w:r>
    </w:p>
    <w:p w:rsidR="001B26A1" w:rsidP="00BE740B" w:rsidRDefault="00000000" w14:paraId="20C5DC40" w14:textId="77777777">
      <w:pPr>
        <w:spacing w:after="120"/>
        <w:rPr>
          <w:rFonts w:hint="eastAsia"/>
        </w:rPr>
      </w:pPr>
      <w:r>
        <w:rPr>
          <w:sz w:val="22"/>
        </w:rPr>
        <w:t xml:space="preserve">Feature diagnostics also showed that the four state summary scores (demand, supply, pressure, and growth potential) were highly correlated. </w:t>
      </w:r>
      <w:r>
        <w:rPr>
          <w:sz w:val="22"/>
        </w:rPr>
        <w:br/>
      </w:r>
      <w:r>
        <w:rPr>
          <w:sz w:val="22"/>
        </w:rPr>
        <w:t xml:space="preserve">That made them useful for interpretation, but not ideal to include together in a compact city-entry model. </w:t>
      </w:r>
      <w:r>
        <w:rPr>
          <w:sz w:val="22"/>
        </w:rPr>
        <w:br/>
      </w:r>
      <w:r>
        <w:rPr>
          <w:sz w:val="22"/>
        </w:rPr>
        <w:t>As a result, Stage 1 compared three increasingly rich feature sets rather than immediately fitting the full state score block.</w:t>
      </w:r>
    </w:p>
    <w:p w:rsidR="001B26A1" w:rsidRDefault="00000000" w14:paraId="619F48DB" w14:textId="77777777">
      <w:pPr>
        <w:spacing w:after="120"/>
        <w:rPr>
          <w:rFonts w:hint="eastAsia"/>
        </w:rPr>
      </w:pPr>
      <w:r>
        <w:rPr>
          <w:b/>
          <w:color w:val="1F4E79"/>
          <w:sz w:val="25"/>
        </w:rPr>
        <w:t>3.3 Candidate feature versions and tuning results</w:t>
      </w:r>
    </w:p>
    <w:tbl>
      <w:tblPr>
        <w:tblStyle w:val="aff1"/>
        <w:tblW w:w="0" w:type="auto"/>
        <w:jc w:val="center"/>
        <w:tblLook w:val="04A0" w:firstRow="1" w:lastRow="0" w:firstColumn="1" w:lastColumn="0" w:noHBand="0" w:noVBand="1"/>
      </w:tblPr>
      <w:tblGrid>
        <w:gridCol w:w="1822"/>
        <w:gridCol w:w="1489"/>
        <w:gridCol w:w="1330"/>
        <w:gridCol w:w="1295"/>
        <w:gridCol w:w="1295"/>
        <w:gridCol w:w="1295"/>
        <w:gridCol w:w="1295"/>
      </w:tblGrid>
      <w:tr w:rsidR="001B26A1" w14:paraId="3DD45A7A" w14:textId="77777777">
        <w:trPr>
          <w:tblHeader/>
          <w:jc w:val="center"/>
        </w:trPr>
        <w:tc>
          <w:tcPr>
            <w:tcW w:w="1372" w:type="dxa"/>
            <w:shd w:val="clear" w:color="auto" w:fill="D9E2F3"/>
            <w:vAlign w:val="center"/>
          </w:tcPr>
          <w:p w:rsidR="001B26A1" w:rsidRDefault="00000000" w14:paraId="36BAEFF2" w14:textId="77777777">
            <w:pPr>
              <w:jc w:val="center"/>
              <w:rPr>
                <w:rFonts w:hint="eastAsia"/>
              </w:rPr>
            </w:pPr>
            <w:r>
              <w:rPr>
                <w:b/>
                <w:sz w:val="18"/>
              </w:rPr>
              <w:t>Version</w:t>
            </w:r>
          </w:p>
        </w:tc>
        <w:tc>
          <w:tcPr>
            <w:tcW w:w="1372" w:type="dxa"/>
            <w:shd w:val="clear" w:color="auto" w:fill="D9E2F3"/>
            <w:vAlign w:val="center"/>
          </w:tcPr>
          <w:p w:rsidR="001B26A1" w:rsidRDefault="00000000" w14:paraId="3C93F074" w14:textId="77777777">
            <w:pPr>
              <w:jc w:val="center"/>
              <w:rPr>
                <w:rFonts w:hint="eastAsia"/>
              </w:rPr>
            </w:pPr>
            <w:r>
              <w:rPr>
                <w:b/>
                <w:sz w:val="18"/>
              </w:rPr>
              <w:t>Features</w:t>
            </w:r>
          </w:p>
        </w:tc>
        <w:tc>
          <w:tcPr>
            <w:tcW w:w="1372" w:type="dxa"/>
            <w:shd w:val="clear" w:color="auto" w:fill="D9E2F3"/>
            <w:vAlign w:val="center"/>
          </w:tcPr>
          <w:p w:rsidR="001B26A1" w:rsidRDefault="00000000" w14:paraId="127C6E4E" w14:textId="77777777">
            <w:pPr>
              <w:jc w:val="center"/>
              <w:rPr>
                <w:rFonts w:hint="eastAsia"/>
              </w:rPr>
            </w:pPr>
            <w:r>
              <w:rPr>
                <w:b/>
                <w:sz w:val="18"/>
              </w:rPr>
              <w:t>Threshold</w:t>
            </w:r>
          </w:p>
        </w:tc>
        <w:tc>
          <w:tcPr>
            <w:tcW w:w="1372" w:type="dxa"/>
            <w:shd w:val="clear" w:color="auto" w:fill="D9E2F3"/>
            <w:vAlign w:val="center"/>
          </w:tcPr>
          <w:p w:rsidR="001B26A1" w:rsidRDefault="00000000" w14:paraId="4AA069D9" w14:textId="77777777">
            <w:pPr>
              <w:jc w:val="center"/>
              <w:rPr>
                <w:rFonts w:hint="eastAsia"/>
              </w:rPr>
            </w:pPr>
            <w:r>
              <w:rPr>
                <w:b/>
                <w:sz w:val="18"/>
              </w:rPr>
              <w:t>Val ROC-AUC</w:t>
            </w:r>
          </w:p>
        </w:tc>
        <w:tc>
          <w:tcPr>
            <w:tcW w:w="1372" w:type="dxa"/>
            <w:shd w:val="clear" w:color="auto" w:fill="D9E2F3"/>
            <w:vAlign w:val="center"/>
          </w:tcPr>
          <w:p w:rsidR="001B26A1" w:rsidRDefault="00000000" w14:paraId="07097690" w14:textId="77777777">
            <w:pPr>
              <w:jc w:val="center"/>
              <w:rPr>
                <w:rFonts w:hint="eastAsia"/>
              </w:rPr>
            </w:pPr>
            <w:r>
              <w:rPr>
                <w:b/>
                <w:sz w:val="18"/>
              </w:rPr>
              <w:t>Val PR-AUC</w:t>
            </w:r>
          </w:p>
        </w:tc>
        <w:tc>
          <w:tcPr>
            <w:tcW w:w="1372" w:type="dxa"/>
            <w:shd w:val="clear" w:color="auto" w:fill="D9E2F3"/>
            <w:vAlign w:val="center"/>
          </w:tcPr>
          <w:p w:rsidR="001B26A1" w:rsidRDefault="00000000" w14:paraId="111625CB" w14:textId="77777777">
            <w:pPr>
              <w:jc w:val="center"/>
              <w:rPr>
                <w:rFonts w:hint="eastAsia"/>
              </w:rPr>
            </w:pPr>
            <w:r>
              <w:rPr>
                <w:b/>
                <w:sz w:val="18"/>
              </w:rPr>
              <w:t>Test PR-AUC</w:t>
            </w:r>
          </w:p>
        </w:tc>
        <w:tc>
          <w:tcPr>
            <w:tcW w:w="1372" w:type="dxa"/>
            <w:shd w:val="clear" w:color="auto" w:fill="D9E2F3"/>
            <w:vAlign w:val="center"/>
          </w:tcPr>
          <w:p w:rsidR="001B26A1" w:rsidRDefault="00000000" w14:paraId="19B4880F" w14:textId="77777777">
            <w:pPr>
              <w:jc w:val="center"/>
              <w:rPr>
                <w:rFonts w:hint="eastAsia"/>
              </w:rPr>
            </w:pPr>
            <w:r>
              <w:rPr>
                <w:b/>
                <w:sz w:val="18"/>
              </w:rPr>
              <w:t>Test F1</w:t>
            </w:r>
          </w:p>
        </w:tc>
      </w:tr>
      <w:tr w:rsidR="001B26A1" w14:paraId="2C1A42C8" w14:textId="77777777">
        <w:trPr>
          <w:jc w:val="center"/>
        </w:trPr>
        <w:tc>
          <w:tcPr>
            <w:tcW w:w="1372" w:type="dxa"/>
            <w:vAlign w:val="center"/>
          </w:tcPr>
          <w:p w:rsidR="001B26A1" w:rsidRDefault="00000000" w14:paraId="169FC88C" w14:textId="77777777">
            <w:pPr>
              <w:rPr>
                <w:rFonts w:hint="eastAsia"/>
              </w:rPr>
            </w:pPr>
            <w:r>
              <w:rPr>
                <w:sz w:val="18"/>
              </w:rPr>
              <w:t>V1_city_only</w:t>
            </w:r>
          </w:p>
        </w:tc>
        <w:tc>
          <w:tcPr>
            <w:tcW w:w="1372" w:type="dxa"/>
            <w:vAlign w:val="center"/>
          </w:tcPr>
          <w:p w:rsidR="001B26A1" w:rsidRDefault="00000000" w14:paraId="0ADD6E9E" w14:textId="77777777">
            <w:pPr>
              <w:rPr>
                <w:rFonts w:hint="eastAsia"/>
              </w:rPr>
            </w:pPr>
            <w:r>
              <w:rPr>
                <w:sz w:val="18"/>
              </w:rPr>
              <w:t>log_population, log_density, military, incorporated</w:t>
            </w:r>
          </w:p>
        </w:tc>
        <w:tc>
          <w:tcPr>
            <w:tcW w:w="1372" w:type="dxa"/>
            <w:vAlign w:val="center"/>
          </w:tcPr>
          <w:p w:rsidR="001B26A1" w:rsidRDefault="00000000" w14:paraId="6BE94903" w14:textId="77777777">
            <w:pPr>
              <w:rPr>
                <w:rFonts w:hint="eastAsia"/>
              </w:rPr>
            </w:pPr>
            <w:r>
              <w:rPr>
                <w:sz w:val="18"/>
              </w:rPr>
              <w:t>0.78</w:t>
            </w:r>
          </w:p>
        </w:tc>
        <w:tc>
          <w:tcPr>
            <w:tcW w:w="1372" w:type="dxa"/>
            <w:vAlign w:val="center"/>
          </w:tcPr>
          <w:p w:rsidR="001B26A1" w:rsidRDefault="00000000" w14:paraId="6FA2D8F8" w14:textId="77777777">
            <w:pPr>
              <w:rPr>
                <w:rFonts w:hint="eastAsia"/>
              </w:rPr>
            </w:pPr>
            <w:r>
              <w:rPr>
                <w:sz w:val="18"/>
              </w:rPr>
              <w:t>0.9572</w:t>
            </w:r>
          </w:p>
        </w:tc>
        <w:tc>
          <w:tcPr>
            <w:tcW w:w="1372" w:type="dxa"/>
            <w:vAlign w:val="center"/>
          </w:tcPr>
          <w:p w:rsidR="001B26A1" w:rsidRDefault="00000000" w14:paraId="556A9D0D" w14:textId="77777777">
            <w:pPr>
              <w:rPr>
                <w:rFonts w:hint="eastAsia"/>
              </w:rPr>
            </w:pPr>
            <w:r>
              <w:rPr>
                <w:sz w:val="18"/>
              </w:rPr>
              <w:t>0.4962</w:t>
            </w:r>
          </w:p>
        </w:tc>
        <w:tc>
          <w:tcPr>
            <w:tcW w:w="1372" w:type="dxa"/>
            <w:vAlign w:val="center"/>
          </w:tcPr>
          <w:p w:rsidR="001B26A1" w:rsidRDefault="00000000" w14:paraId="7617D868" w14:textId="77777777">
            <w:pPr>
              <w:rPr>
                <w:rFonts w:hint="eastAsia"/>
              </w:rPr>
            </w:pPr>
            <w:r>
              <w:rPr>
                <w:sz w:val="18"/>
              </w:rPr>
              <w:t>0.5346</w:t>
            </w:r>
          </w:p>
        </w:tc>
        <w:tc>
          <w:tcPr>
            <w:tcW w:w="1372" w:type="dxa"/>
            <w:vAlign w:val="center"/>
          </w:tcPr>
          <w:p w:rsidR="001B26A1" w:rsidRDefault="00000000" w14:paraId="0BD60213" w14:textId="77777777">
            <w:pPr>
              <w:rPr>
                <w:rFonts w:hint="eastAsia"/>
              </w:rPr>
            </w:pPr>
            <w:r>
              <w:rPr>
                <w:sz w:val="18"/>
              </w:rPr>
              <w:t>0.4387</w:t>
            </w:r>
          </w:p>
        </w:tc>
      </w:tr>
      <w:tr w:rsidR="001B26A1" w14:paraId="7B40C921" w14:textId="77777777">
        <w:trPr>
          <w:jc w:val="center"/>
        </w:trPr>
        <w:tc>
          <w:tcPr>
            <w:tcW w:w="1372" w:type="dxa"/>
            <w:vAlign w:val="center"/>
          </w:tcPr>
          <w:p w:rsidR="001B26A1" w:rsidRDefault="00000000" w14:paraId="0680CF1F" w14:textId="77777777">
            <w:pPr>
              <w:rPr>
                <w:rFonts w:hint="eastAsia"/>
              </w:rPr>
            </w:pPr>
            <w:r>
              <w:rPr>
                <w:sz w:val="18"/>
              </w:rPr>
              <w:t>V2_city_plus_cluster</w:t>
            </w:r>
          </w:p>
        </w:tc>
        <w:tc>
          <w:tcPr>
            <w:tcW w:w="1372" w:type="dxa"/>
            <w:vAlign w:val="center"/>
          </w:tcPr>
          <w:p w:rsidR="001B26A1" w:rsidRDefault="00000000" w14:paraId="16969149" w14:textId="77777777">
            <w:pPr>
              <w:rPr>
                <w:rFonts w:hint="eastAsia"/>
              </w:rPr>
            </w:pPr>
            <w:r>
              <w:rPr>
                <w:sz w:val="18"/>
              </w:rPr>
              <w:t>V1 + cluster_reduced</w:t>
            </w:r>
          </w:p>
        </w:tc>
        <w:tc>
          <w:tcPr>
            <w:tcW w:w="1372" w:type="dxa"/>
            <w:vAlign w:val="center"/>
          </w:tcPr>
          <w:p w:rsidR="001B26A1" w:rsidRDefault="00000000" w14:paraId="295059C3" w14:textId="77777777">
            <w:pPr>
              <w:rPr>
                <w:rFonts w:hint="eastAsia"/>
              </w:rPr>
            </w:pPr>
            <w:r>
              <w:rPr>
                <w:sz w:val="18"/>
              </w:rPr>
              <w:t>0.77</w:t>
            </w:r>
          </w:p>
        </w:tc>
        <w:tc>
          <w:tcPr>
            <w:tcW w:w="1372" w:type="dxa"/>
            <w:vAlign w:val="center"/>
          </w:tcPr>
          <w:p w:rsidR="001B26A1" w:rsidRDefault="00000000" w14:paraId="0A90692E" w14:textId="77777777">
            <w:pPr>
              <w:rPr>
                <w:rFonts w:hint="eastAsia"/>
              </w:rPr>
            </w:pPr>
            <w:r>
              <w:rPr>
                <w:sz w:val="18"/>
              </w:rPr>
              <w:t>0.9582</w:t>
            </w:r>
          </w:p>
        </w:tc>
        <w:tc>
          <w:tcPr>
            <w:tcW w:w="1372" w:type="dxa"/>
            <w:vAlign w:val="center"/>
          </w:tcPr>
          <w:p w:rsidR="001B26A1" w:rsidRDefault="00000000" w14:paraId="611FCD4B" w14:textId="77777777">
            <w:pPr>
              <w:rPr>
                <w:rFonts w:hint="eastAsia"/>
              </w:rPr>
            </w:pPr>
            <w:r>
              <w:rPr>
                <w:sz w:val="18"/>
              </w:rPr>
              <w:t>0.4978</w:t>
            </w:r>
          </w:p>
        </w:tc>
        <w:tc>
          <w:tcPr>
            <w:tcW w:w="1372" w:type="dxa"/>
            <w:vAlign w:val="center"/>
          </w:tcPr>
          <w:p w:rsidR="001B26A1" w:rsidRDefault="00000000" w14:paraId="1C13B04F" w14:textId="77777777">
            <w:pPr>
              <w:rPr>
                <w:rFonts w:hint="eastAsia"/>
              </w:rPr>
            </w:pPr>
            <w:r>
              <w:rPr>
                <w:sz w:val="18"/>
              </w:rPr>
              <w:t>0.5421</w:t>
            </w:r>
          </w:p>
        </w:tc>
        <w:tc>
          <w:tcPr>
            <w:tcW w:w="1372" w:type="dxa"/>
            <w:vAlign w:val="center"/>
          </w:tcPr>
          <w:p w:rsidR="001B26A1" w:rsidRDefault="00000000" w14:paraId="3A5F760E" w14:textId="77777777">
            <w:pPr>
              <w:rPr>
                <w:rFonts w:hint="eastAsia"/>
              </w:rPr>
            </w:pPr>
            <w:r>
              <w:rPr>
                <w:sz w:val="18"/>
              </w:rPr>
              <w:t>0.4339</w:t>
            </w:r>
          </w:p>
        </w:tc>
      </w:tr>
      <w:tr w:rsidR="001B26A1" w14:paraId="486A734C" w14:textId="77777777">
        <w:trPr>
          <w:jc w:val="center"/>
        </w:trPr>
        <w:tc>
          <w:tcPr>
            <w:tcW w:w="1372" w:type="dxa"/>
            <w:vAlign w:val="center"/>
          </w:tcPr>
          <w:p w:rsidR="001B26A1" w:rsidRDefault="00000000" w14:paraId="7F70F337" w14:textId="77777777">
            <w:pPr>
              <w:rPr>
                <w:rFonts w:hint="eastAsia"/>
              </w:rPr>
            </w:pPr>
            <w:r>
              <w:rPr>
                <w:sz w:val="18"/>
              </w:rPr>
              <w:t>V3_full</w:t>
            </w:r>
          </w:p>
        </w:tc>
        <w:tc>
          <w:tcPr>
            <w:tcW w:w="1372" w:type="dxa"/>
            <w:vAlign w:val="center"/>
          </w:tcPr>
          <w:p w:rsidR="001B26A1" w:rsidRDefault="00000000" w14:paraId="2B2F8B54" w14:textId="77777777">
            <w:pPr>
              <w:rPr>
                <w:rFonts w:hint="eastAsia"/>
              </w:rPr>
            </w:pPr>
            <w:r>
              <w:rPr>
                <w:sz w:val="18"/>
              </w:rPr>
              <w:t xml:space="preserve">V2 + state score </w:t>
            </w:r>
            <w:r>
              <w:rPr>
                <w:sz w:val="18"/>
              </w:rPr>
              <w:t>block</w:t>
            </w:r>
          </w:p>
        </w:tc>
        <w:tc>
          <w:tcPr>
            <w:tcW w:w="1372" w:type="dxa"/>
            <w:vAlign w:val="center"/>
          </w:tcPr>
          <w:p w:rsidR="001B26A1" w:rsidRDefault="00000000" w14:paraId="5A00E337" w14:textId="77777777">
            <w:pPr>
              <w:rPr>
                <w:rFonts w:hint="eastAsia"/>
              </w:rPr>
            </w:pPr>
            <w:r>
              <w:rPr>
                <w:sz w:val="18"/>
              </w:rPr>
              <w:t>0.78</w:t>
            </w:r>
          </w:p>
        </w:tc>
        <w:tc>
          <w:tcPr>
            <w:tcW w:w="1372" w:type="dxa"/>
            <w:vAlign w:val="center"/>
          </w:tcPr>
          <w:p w:rsidR="001B26A1" w:rsidRDefault="00000000" w14:paraId="6F199CAE" w14:textId="77777777">
            <w:pPr>
              <w:rPr>
                <w:rFonts w:hint="eastAsia"/>
              </w:rPr>
            </w:pPr>
            <w:r>
              <w:rPr>
                <w:sz w:val="18"/>
              </w:rPr>
              <w:t>0.9588</w:t>
            </w:r>
          </w:p>
        </w:tc>
        <w:tc>
          <w:tcPr>
            <w:tcW w:w="1372" w:type="dxa"/>
            <w:vAlign w:val="center"/>
          </w:tcPr>
          <w:p w:rsidR="001B26A1" w:rsidRDefault="00000000" w14:paraId="449CA809" w14:textId="77777777">
            <w:pPr>
              <w:rPr>
                <w:rFonts w:hint="eastAsia"/>
              </w:rPr>
            </w:pPr>
            <w:r>
              <w:rPr>
                <w:sz w:val="18"/>
              </w:rPr>
              <w:t>0.5020</w:t>
            </w:r>
          </w:p>
        </w:tc>
        <w:tc>
          <w:tcPr>
            <w:tcW w:w="1372" w:type="dxa"/>
            <w:vAlign w:val="center"/>
          </w:tcPr>
          <w:p w:rsidR="001B26A1" w:rsidRDefault="00000000" w14:paraId="48E73F9B" w14:textId="77777777">
            <w:pPr>
              <w:rPr>
                <w:rFonts w:hint="eastAsia"/>
              </w:rPr>
            </w:pPr>
            <w:r>
              <w:rPr>
                <w:sz w:val="18"/>
              </w:rPr>
              <w:t>0.5415</w:t>
            </w:r>
          </w:p>
        </w:tc>
        <w:tc>
          <w:tcPr>
            <w:tcW w:w="1372" w:type="dxa"/>
            <w:vAlign w:val="center"/>
          </w:tcPr>
          <w:p w:rsidR="001B26A1" w:rsidRDefault="00000000" w14:paraId="6A7FEB15" w14:textId="77777777">
            <w:pPr>
              <w:rPr>
                <w:rFonts w:hint="eastAsia"/>
              </w:rPr>
            </w:pPr>
            <w:r>
              <w:rPr>
                <w:sz w:val="18"/>
              </w:rPr>
              <w:t>0.4361</w:t>
            </w:r>
          </w:p>
        </w:tc>
      </w:tr>
    </w:tbl>
    <w:p w:rsidR="001B26A1" w:rsidRDefault="001B26A1" w14:paraId="36D60F50" w14:textId="77777777">
      <w:pPr>
        <w:rPr>
          <w:rFonts w:hint="eastAsia"/>
        </w:rPr>
      </w:pPr>
    </w:p>
    <w:p w:rsidR="001B26A1" w:rsidP="00BE740B" w:rsidRDefault="00000000" w14:paraId="4D164EB2" w14:textId="77777777">
      <w:pPr>
        <w:spacing w:after="120"/>
        <w:rPr>
          <w:rFonts w:hint="eastAsia"/>
        </w:rPr>
      </w:pPr>
      <w:r>
        <w:rPr>
          <w:sz w:val="22"/>
        </w:rPr>
        <w:t xml:space="preserve">All three Stage 1 variants produced strong discrimination once leakage had been removed, with test ROC-AUC around 0.95 and PR-AUC around 0.54. </w:t>
      </w:r>
      <w:r>
        <w:rPr>
          <w:sz w:val="22"/>
        </w:rPr>
        <w:br/>
      </w:r>
      <w:r>
        <w:rPr>
          <w:sz w:val="22"/>
        </w:rPr>
        <w:t xml:space="preserve">Version 2 was selected as the final classifier because it preserved the clear signal from the reduced state cluster while avoiding the redundancy and interpretability cost of the full score block. </w:t>
      </w:r>
      <w:r>
        <w:rPr>
          <w:sz w:val="22"/>
        </w:rPr>
        <w:br/>
      </w:r>
      <w:r>
        <w:rPr>
          <w:sz w:val="22"/>
        </w:rPr>
        <w:t>In other words, the final classifier used a compact set of city capacity variables plus a broad state market-structure variable, which matched the intuition from the clustering study.</w:t>
      </w:r>
    </w:p>
    <w:p w:rsidR="001B26A1" w:rsidP="00BE740B" w:rsidRDefault="00000000" w14:paraId="6BD5EC50" w14:textId="77777777">
      <w:pPr>
        <w:spacing w:after="120"/>
        <w:rPr>
          <w:rFonts w:hint="eastAsia"/>
        </w:rPr>
      </w:pPr>
      <w:r>
        <w:rPr>
          <w:sz w:val="22"/>
        </w:rPr>
        <w:t xml:space="preserve">The final Stage 1 interpretation is therefore: city size and density matter, but dealer entry is also shaped by broad state market maturity. </w:t>
      </w:r>
      <w:r>
        <w:rPr>
          <w:sz w:val="22"/>
        </w:rPr>
        <w:br/>
      </w:r>
      <w:r>
        <w:rPr>
          <w:sz w:val="22"/>
        </w:rPr>
        <w:t>This is consistent with the initial clustering results, where mature EV markets and the main emerging segment were identified as the most relevant strategic targets.</w:t>
      </w:r>
    </w:p>
    <w:p w:rsidR="001B26A1" w:rsidRDefault="00000000" w14:paraId="08D79740" w14:textId="77777777">
      <w:pPr>
        <w:spacing w:after="160"/>
        <w:rPr>
          <w:rFonts w:hint="eastAsia"/>
        </w:rPr>
      </w:pPr>
      <w:r>
        <w:rPr>
          <w:b/>
          <w:color w:val="1F4E79"/>
          <w:sz w:val="32"/>
        </w:rPr>
        <w:t>4. Stage 2 Regression Model for Dealership Count</w:t>
      </w:r>
    </w:p>
    <w:p w:rsidR="001B26A1" w:rsidRDefault="00000000" w14:paraId="51D2322A" w14:textId="77777777">
      <w:pPr>
        <w:spacing w:after="120"/>
        <w:rPr>
          <w:rFonts w:hint="eastAsia"/>
        </w:rPr>
      </w:pPr>
      <w:r>
        <w:rPr>
          <w:b/>
          <w:color w:val="1F4E79"/>
          <w:sz w:val="25"/>
        </w:rPr>
        <w:t>4.1 Target definition and model equation</w:t>
      </w:r>
    </w:p>
    <w:p w:rsidR="001B26A1" w:rsidRDefault="00000000" w14:paraId="07DB4CC7" w14:textId="77777777">
      <w:pPr>
        <w:spacing w:after="120"/>
        <w:jc w:val="both"/>
        <w:rPr>
          <w:rFonts w:hint="eastAsia"/>
        </w:rPr>
      </w:pPr>
      <w:r>
        <w:rPr>
          <w:sz w:val="22"/>
        </w:rPr>
        <w:t xml:space="preserve">Stage 2 addressed a different problem. After identifying candidate cities for entry, the next question was not whether a city should have a dealership, but how many dealerships it could plausibly sustain. </w:t>
      </w:r>
      <w:r>
        <w:rPr>
          <w:sz w:val="22"/>
        </w:rPr>
        <w:br/>
      </w:r>
      <w:r>
        <w:rPr>
          <w:sz w:val="22"/>
        </w:rPr>
        <w:t>To avoid mixing cities with structural zero demand and cities with realised dealer presence, Stage 2 was estimated only on cities with dealer_count &gt; 0.</w:t>
      </w:r>
    </w:p>
    <w:p w:rsidR="001B26A1" w:rsidRDefault="00000000" w14:paraId="031D27C4" w14:textId="77777777">
      <w:pPr>
        <w:spacing w:before="120" w:after="120"/>
        <w:ind w:left="432" w:right="288"/>
        <w:rPr>
          <w:rFonts w:hint="eastAsia"/>
        </w:rPr>
      </w:pPr>
      <w:r>
        <w:rPr>
          <w:rFonts w:ascii="Courier New" w:hAnsi="Courier New"/>
          <w:sz w:val="19"/>
        </w:rPr>
        <w:t>c_i = dealer_count_i,   estimated only for observations with c_i &gt; 0</w:t>
      </w:r>
    </w:p>
    <w:p w:rsidR="001B26A1" w:rsidRDefault="00000000" w14:paraId="108B49E5" w14:textId="77777777">
      <w:pPr>
        <w:spacing w:after="120"/>
        <w:jc w:val="both"/>
        <w:rPr>
          <w:rFonts w:hint="eastAsia"/>
        </w:rPr>
      </w:pPr>
      <w:r>
        <w:rPr>
          <w:sz w:val="22"/>
        </w:rPr>
        <w:t>The modelling target can therefore be viewed as an estimate of conditional capacity:</w:t>
      </w:r>
    </w:p>
    <w:p w:rsidR="001B26A1" w:rsidRDefault="00000000" w14:paraId="4A9E98CE" w14:textId="77777777">
      <w:pPr>
        <w:spacing w:before="120" w:after="120"/>
        <w:ind w:left="432" w:right="288"/>
        <w:rPr>
          <w:rFonts w:hint="eastAsia"/>
        </w:rPr>
      </w:pPr>
      <w:r>
        <w:rPr>
          <w:rFonts w:ascii="Courier New" w:hAnsi="Courier New"/>
          <w:sz w:val="19"/>
        </w:rPr>
        <w:t>E[c_i | x_i, c_i &gt; 0]</w:t>
      </w:r>
    </w:p>
    <w:p w:rsidR="001B26A1" w:rsidP="00BE740B" w:rsidRDefault="00000000" w14:paraId="4158F3AC" w14:textId="77777777">
      <w:pPr>
        <w:spacing w:after="120"/>
        <w:rPr>
          <w:rFonts w:hint="eastAsia"/>
        </w:rPr>
      </w:pPr>
      <w:r>
        <w:rPr>
          <w:sz w:val="22"/>
        </w:rPr>
        <w:t xml:space="preserve">Two regression families were compared. A Poisson regressor was used as a count-data baseline, while a Random Forest regressor was used as a flexible nonlinear benchmark. </w:t>
      </w:r>
      <w:r>
        <w:rPr>
          <w:sz w:val="22"/>
        </w:rPr>
        <w:br/>
      </w:r>
      <w:r>
        <w:rPr>
          <w:sz w:val="22"/>
        </w:rPr>
        <w:t>The final count model was chosen by validation RMSE, with test RMSE and test R² used as out-of-sample checks.</w:t>
      </w:r>
    </w:p>
    <w:p w:rsidR="001B26A1" w:rsidRDefault="00000000" w14:paraId="0C88E95A" w14:textId="77777777">
      <w:pPr>
        <w:spacing w:after="120"/>
        <w:rPr>
          <w:rFonts w:hint="eastAsia"/>
        </w:rPr>
      </w:pPr>
      <w:r>
        <w:rPr>
          <w:b/>
          <w:color w:val="1F4E79"/>
          <w:sz w:val="25"/>
        </w:rPr>
        <w:t>4.2 Stage 2 feature engineering</w:t>
      </w:r>
    </w:p>
    <w:p w:rsidR="001B26A1" w:rsidP="00BE740B" w:rsidRDefault="00000000" w14:paraId="7B6CC954" w14:textId="77777777">
      <w:pPr>
        <w:spacing w:after="120"/>
        <w:rPr>
          <w:rFonts w:hint="eastAsia"/>
        </w:rPr>
      </w:pPr>
      <w:r>
        <w:rPr>
          <w:sz w:val="22"/>
        </w:rPr>
        <w:t xml:space="preserve">The Stage 2 feature engineering exercise was intentionally separate from Stage 1. </w:t>
      </w:r>
      <w:r>
        <w:rPr>
          <w:sz w:val="22"/>
        </w:rPr>
        <w:br/>
      </w:r>
      <w:r>
        <w:rPr>
          <w:sz w:val="22"/>
        </w:rPr>
        <w:t xml:space="preserve">A variable that is useful for deciding whether to enter a city is not necessarily the best variable for predicting the number of dealerships once the city is already served. </w:t>
      </w:r>
      <w:r>
        <w:rPr>
          <w:sz w:val="22"/>
        </w:rPr>
        <w:br/>
      </w:r>
      <w:r>
        <w:rPr>
          <w:sz w:val="22"/>
        </w:rPr>
        <w:t>Three feature versions were compared:</w:t>
      </w:r>
    </w:p>
    <w:p w:rsidR="001B26A1" w:rsidRDefault="00000000" w14:paraId="17749F18" w14:textId="77777777">
      <w:pPr>
        <w:pStyle w:val="a0"/>
        <w:ind w:left="0"/>
        <w:rPr>
          <w:rFonts w:hint="eastAsia"/>
        </w:rPr>
      </w:pPr>
      <w:r>
        <w:t>A_city_capacity: log_population, log_density, incorporated</w:t>
      </w:r>
    </w:p>
    <w:p w:rsidR="001B26A1" w:rsidRDefault="00000000" w14:paraId="70080DB1" w14:textId="77777777">
      <w:pPr>
        <w:pStyle w:val="a0"/>
        <w:ind w:left="0"/>
        <w:rPr>
          <w:rFonts w:hint="eastAsia"/>
        </w:rPr>
      </w:pPr>
      <w:r>
        <w:t>B_plus_cluster: A + cluster_reduced</w:t>
      </w:r>
    </w:p>
    <w:p w:rsidR="001B26A1" w:rsidRDefault="00000000" w14:paraId="0002456D" w14:textId="77777777">
      <w:pPr>
        <w:pStyle w:val="a0"/>
        <w:ind w:left="0"/>
        <w:rPr>
          <w:rFonts w:hint="eastAsia"/>
        </w:rPr>
      </w:pPr>
      <w:r>
        <w:t>C_plus_cluster_priority: B + state_priority_score</w:t>
      </w:r>
    </w:p>
    <w:tbl>
      <w:tblPr>
        <w:tblStyle w:val="aff1"/>
        <w:tblW w:w="0" w:type="auto"/>
        <w:jc w:val="center"/>
        <w:tblLook w:val="04A0" w:firstRow="1" w:lastRow="0" w:firstColumn="1" w:lastColumn="0" w:noHBand="0" w:noVBand="1"/>
      </w:tblPr>
      <w:tblGrid>
        <w:gridCol w:w="2014"/>
        <w:gridCol w:w="2149"/>
        <w:gridCol w:w="1401"/>
        <w:gridCol w:w="1401"/>
        <w:gridCol w:w="1401"/>
        <w:gridCol w:w="1455"/>
      </w:tblGrid>
      <w:tr w:rsidR="001B26A1" w14:paraId="543C14E7" w14:textId="77777777">
        <w:trPr>
          <w:tblHeader/>
          <w:jc w:val="center"/>
        </w:trPr>
        <w:tc>
          <w:tcPr>
            <w:tcW w:w="1601" w:type="dxa"/>
            <w:shd w:val="clear" w:color="auto" w:fill="D9E2F3"/>
            <w:vAlign w:val="center"/>
          </w:tcPr>
          <w:p w:rsidR="001B26A1" w:rsidRDefault="00000000" w14:paraId="722E1F51" w14:textId="77777777">
            <w:pPr>
              <w:jc w:val="center"/>
              <w:rPr>
                <w:rFonts w:hint="eastAsia"/>
              </w:rPr>
            </w:pPr>
            <w:r>
              <w:rPr>
                <w:b/>
                <w:sz w:val="18"/>
              </w:rPr>
              <w:t>Feature version</w:t>
            </w:r>
          </w:p>
        </w:tc>
        <w:tc>
          <w:tcPr>
            <w:tcW w:w="1601" w:type="dxa"/>
            <w:shd w:val="clear" w:color="auto" w:fill="D9E2F3"/>
            <w:vAlign w:val="center"/>
          </w:tcPr>
          <w:p w:rsidR="001B26A1" w:rsidRDefault="00000000" w14:paraId="6E745385" w14:textId="77777777">
            <w:pPr>
              <w:jc w:val="center"/>
              <w:rPr>
                <w:rFonts w:hint="eastAsia"/>
              </w:rPr>
            </w:pPr>
            <w:r>
              <w:rPr>
                <w:b/>
                <w:sz w:val="18"/>
              </w:rPr>
              <w:t>Model</w:t>
            </w:r>
          </w:p>
        </w:tc>
        <w:tc>
          <w:tcPr>
            <w:tcW w:w="1601" w:type="dxa"/>
            <w:shd w:val="clear" w:color="auto" w:fill="D9E2F3"/>
            <w:vAlign w:val="center"/>
          </w:tcPr>
          <w:p w:rsidR="001B26A1" w:rsidRDefault="00000000" w14:paraId="7FB50EEC" w14:textId="77777777">
            <w:pPr>
              <w:jc w:val="center"/>
              <w:rPr>
                <w:rFonts w:hint="eastAsia"/>
              </w:rPr>
            </w:pPr>
            <w:r>
              <w:rPr>
                <w:b/>
                <w:sz w:val="18"/>
              </w:rPr>
              <w:t>Val RMSE</w:t>
            </w:r>
          </w:p>
        </w:tc>
        <w:tc>
          <w:tcPr>
            <w:tcW w:w="1601" w:type="dxa"/>
            <w:shd w:val="clear" w:color="auto" w:fill="D9E2F3"/>
            <w:vAlign w:val="center"/>
          </w:tcPr>
          <w:p w:rsidR="001B26A1" w:rsidRDefault="00000000" w14:paraId="600A6C71" w14:textId="77777777">
            <w:pPr>
              <w:jc w:val="center"/>
              <w:rPr>
                <w:rFonts w:hint="eastAsia"/>
              </w:rPr>
            </w:pPr>
            <w:r>
              <w:rPr>
                <w:b/>
                <w:sz w:val="18"/>
              </w:rPr>
              <w:t>Test RMSE</w:t>
            </w:r>
          </w:p>
        </w:tc>
        <w:tc>
          <w:tcPr>
            <w:tcW w:w="1601" w:type="dxa"/>
            <w:shd w:val="clear" w:color="auto" w:fill="D9E2F3"/>
            <w:vAlign w:val="center"/>
          </w:tcPr>
          <w:p w:rsidR="001B26A1" w:rsidRDefault="00000000" w14:paraId="0AEF1CDF" w14:textId="77777777">
            <w:pPr>
              <w:jc w:val="center"/>
              <w:rPr>
                <w:rFonts w:hint="eastAsia"/>
              </w:rPr>
            </w:pPr>
            <w:r>
              <w:rPr>
                <w:b/>
                <w:sz w:val="18"/>
              </w:rPr>
              <w:t>Test R²</w:t>
            </w:r>
          </w:p>
        </w:tc>
        <w:tc>
          <w:tcPr>
            <w:tcW w:w="1601" w:type="dxa"/>
            <w:shd w:val="clear" w:color="auto" w:fill="D9E2F3"/>
            <w:vAlign w:val="center"/>
          </w:tcPr>
          <w:p w:rsidR="001B26A1" w:rsidRDefault="00000000" w14:paraId="1233471E" w14:textId="77777777">
            <w:pPr>
              <w:jc w:val="center"/>
              <w:rPr>
                <w:rFonts w:hint="eastAsia"/>
              </w:rPr>
            </w:pPr>
            <w:r>
              <w:rPr>
                <w:b/>
                <w:sz w:val="18"/>
              </w:rPr>
              <w:t>Decision</w:t>
            </w:r>
          </w:p>
        </w:tc>
      </w:tr>
      <w:tr w:rsidR="001B26A1" w14:paraId="6746B022" w14:textId="77777777">
        <w:trPr>
          <w:jc w:val="center"/>
        </w:trPr>
        <w:tc>
          <w:tcPr>
            <w:tcW w:w="1601" w:type="dxa"/>
            <w:vAlign w:val="center"/>
          </w:tcPr>
          <w:p w:rsidR="001B26A1" w:rsidRDefault="00000000" w14:paraId="1FFAB4F1" w14:textId="77777777">
            <w:pPr>
              <w:rPr>
                <w:rFonts w:hint="eastAsia"/>
              </w:rPr>
            </w:pPr>
            <w:r>
              <w:rPr>
                <w:sz w:val="18"/>
              </w:rPr>
              <w:t>A_city_capacity</w:t>
            </w:r>
          </w:p>
        </w:tc>
        <w:tc>
          <w:tcPr>
            <w:tcW w:w="1601" w:type="dxa"/>
            <w:vAlign w:val="center"/>
          </w:tcPr>
          <w:p w:rsidR="001B26A1" w:rsidRDefault="00000000" w14:paraId="6FFC3EEA" w14:textId="77777777">
            <w:pPr>
              <w:rPr>
                <w:rFonts w:hint="eastAsia"/>
              </w:rPr>
            </w:pPr>
            <w:r>
              <w:rPr>
                <w:sz w:val="18"/>
              </w:rPr>
              <w:t>RandomForestRegressor</w:t>
            </w:r>
          </w:p>
        </w:tc>
        <w:tc>
          <w:tcPr>
            <w:tcW w:w="1601" w:type="dxa"/>
            <w:vAlign w:val="center"/>
          </w:tcPr>
          <w:p w:rsidR="001B26A1" w:rsidRDefault="00000000" w14:paraId="3B068E25" w14:textId="77777777">
            <w:pPr>
              <w:rPr>
                <w:rFonts w:hint="eastAsia"/>
              </w:rPr>
            </w:pPr>
            <w:r>
              <w:rPr>
                <w:sz w:val="18"/>
              </w:rPr>
              <w:t>0.1818</w:t>
            </w:r>
          </w:p>
        </w:tc>
        <w:tc>
          <w:tcPr>
            <w:tcW w:w="1601" w:type="dxa"/>
            <w:vAlign w:val="center"/>
          </w:tcPr>
          <w:p w:rsidR="001B26A1" w:rsidRDefault="00000000" w14:paraId="0587F3F1" w14:textId="77777777">
            <w:pPr>
              <w:rPr>
                <w:rFonts w:hint="eastAsia"/>
              </w:rPr>
            </w:pPr>
            <w:r>
              <w:rPr>
                <w:sz w:val="18"/>
              </w:rPr>
              <w:t>0.3144</w:t>
            </w:r>
          </w:p>
        </w:tc>
        <w:tc>
          <w:tcPr>
            <w:tcW w:w="1601" w:type="dxa"/>
            <w:vAlign w:val="center"/>
          </w:tcPr>
          <w:p w:rsidR="001B26A1" w:rsidRDefault="00000000" w14:paraId="4BA61780" w14:textId="77777777">
            <w:pPr>
              <w:rPr>
                <w:rFonts w:hint="eastAsia"/>
              </w:rPr>
            </w:pPr>
            <w:r>
              <w:rPr>
                <w:sz w:val="18"/>
              </w:rPr>
              <w:t>0.5225</w:t>
            </w:r>
          </w:p>
        </w:tc>
        <w:tc>
          <w:tcPr>
            <w:tcW w:w="1601" w:type="dxa"/>
            <w:vAlign w:val="center"/>
          </w:tcPr>
          <w:p w:rsidR="001B26A1" w:rsidRDefault="00000000" w14:paraId="3DE0771F" w14:textId="77777777">
            <w:pPr>
              <w:rPr>
                <w:rFonts w:hint="eastAsia"/>
              </w:rPr>
            </w:pPr>
            <w:r>
              <w:rPr>
                <w:sz w:val="18"/>
              </w:rPr>
              <w:t>Selected by validation RMSE</w:t>
            </w:r>
          </w:p>
        </w:tc>
      </w:tr>
      <w:tr w:rsidR="001B26A1" w14:paraId="5FBFDCF3" w14:textId="77777777">
        <w:trPr>
          <w:jc w:val="center"/>
        </w:trPr>
        <w:tc>
          <w:tcPr>
            <w:tcW w:w="1601" w:type="dxa"/>
            <w:vAlign w:val="center"/>
          </w:tcPr>
          <w:p w:rsidR="001B26A1" w:rsidRDefault="00000000" w14:paraId="1DDFFA52" w14:textId="77777777">
            <w:pPr>
              <w:rPr>
                <w:rFonts w:hint="eastAsia"/>
              </w:rPr>
            </w:pPr>
            <w:r>
              <w:rPr>
                <w:sz w:val="18"/>
              </w:rPr>
              <w:t>B_plus_cluster</w:t>
            </w:r>
          </w:p>
        </w:tc>
        <w:tc>
          <w:tcPr>
            <w:tcW w:w="1601" w:type="dxa"/>
            <w:vAlign w:val="center"/>
          </w:tcPr>
          <w:p w:rsidR="001B26A1" w:rsidRDefault="00000000" w14:paraId="3492D9D5" w14:textId="77777777">
            <w:pPr>
              <w:rPr>
                <w:rFonts w:hint="eastAsia"/>
              </w:rPr>
            </w:pPr>
            <w:r>
              <w:rPr>
                <w:sz w:val="18"/>
              </w:rPr>
              <w:t>RandomForestRegressor</w:t>
            </w:r>
          </w:p>
        </w:tc>
        <w:tc>
          <w:tcPr>
            <w:tcW w:w="1601" w:type="dxa"/>
            <w:vAlign w:val="center"/>
          </w:tcPr>
          <w:p w:rsidR="001B26A1" w:rsidRDefault="00000000" w14:paraId="00BB8325" w14:textId="77777777">
            <w:pPr>
              <w:rPr>
                <w:rFonts w:hint="eastAsia"/>
              </w:rPr>
            </w:pPr>
            <w:r>
              <w:rPr>
                <w:sz w:val="18"/>
              </w:rPr>
              <w:t>0.1828</w:t>
            </w:r>
          </w:p>
        </w:tc>
        <w:tc>
          <w:tcPr>
            <w:tcW w:w="1601" w:type="dxa"/>
            <w:vAlign w:val="center"/>
          </w:tcPr>
          <w:p w:rsidR="001B26A1" w:rsidRDefault="00000000" w14:paraId="34A2CFD9" w14:textId="77777777">
            <w:pPr>
              <w:rPr>
                <w:rFonts w:hint="eastAsia"/>
              </w:rPr>
            </w:pPr>
            <w:r>
              <w:rPr>
                <w:sz w:val="18"/>
              </w:rPr>
              <w:t>0.3133</w:t>
            </w:r>
          </w:p>
        </w:tc>
        <w:tc>
          <w:tcPr>
            <w:tcW w:w="1601" w:type="dxa"/>
            <w:vAlign w:val="center"/>
          </w:tcPr>
          <w:p w:rsidR="001B26A1" w:rsidRDefault="00000000" w14:paraId="650C9484" w14:textId="77777777">
            <w:pPr>
              <w:rPr>
                <w:rFonts w:hint="eastAsia"/>
              </w:rPr>
            </w:pPr>
            <w:r>
              <w:rPr>
                <w:sz w:val="18"/>
              </w:rPr>
              <w:t>0.5260</w:t>
            </w:r>
          </w:p>
        </w:tc>
        <w:tc>
          <w:tcPr>
            <w:tcW w:w="1601" w:type="dxa"/>
            <w:vAlign w:val="center"/>
          </w:tcPr>
          <w:p w:rsidR="001B26A1" w:rsidRDefault="00000000" w14:paraId="2EAA8BBF" w14:textId="77777777">
            <w:pPr>
              <w:rPr>
                <w:rFonts w:hint="eastAsia"/>
              </w:rPr>
            </w:pPr>
            <w:r>
              <w:rPr>
                <w:sz w:val="18"/>
              </w:rPr>
              <w:t>Near-tie but slightly worse on validation</w:t>
            </w:r>
          </w:p>
        </w:tc>
      </w:tr>
      <w:tr w:rsidR="001B26A1" w14:paraId="1EFF903B" w14:textId="77777777">
        <w:trPr>
          <w:jc w:val="center"/>
        </w:trPr>
        <w:tc>
          <w:tcPr>
            <w:tcW w:w="1601" w:type="dxa"/>
            <w:vAlign w:val="center"/>
          </w:tcPr>
          <w:p w:rsidR="001B26A1" w:rsidRDefault="00000000" w14:paraId="5E8C49D1" w14:textId="77777777">
            <w:pPr>
              <w:rPr>
                <w:rFonts w:hint="eastAsia"/>
              </w:rPr>
            </w:pPr>
            <w:r>
              <w:rPr>
                <w:sz w:val="18"/>
              </w:rPr>
              <w:t>C_plus_cluster_priority</w:t>
            </w:r>
          </w:p>
        </w:tc>
        <w:tc>
          <w:tcPr>
            <w:tcW w:w="1601" w:type="dxa"/>
            <w:vAlign w:val="center"/>
          </w:tcPr>
          <w:p w:rsidR="001B26A1" w:rsidRDefault="00000000" w14:paraId="46F8B436" w14:textId="77777777">
            <w:pPr>
              <w:rPr>
                <w:rFonts w:hint="eastAsia"/>
              </w:rPr>
            </w:pPr>
            <w:r>
              <w:rPr>
                <w:sz w:val="18"/>
              </w:rPr>
              <w:t>RandomForestRegressor</w:t>
            </w:r>
          </w:p>
        </w:tc>
        <w:tc>
          <w:tcPr>
            <w:tcW w:w="1601" w:type="dxa"/>
            <w:vAlign w:val="center"/>
          </w:tcPr>
          <w:p w:rsidR="001B26A1" w:rsidRDefault="00000000" w14:paraId="4E265AED" w14:textId="77777777">
            <w:pPr>
              <w:rPr>
                <w:rFonts w:hint="eastAsia"/>
              </w:rPr>
            </w:pPr>
            <w:r>
              <w:rPr>
                <w:sz w:val="18"/>
              </w:rPr>
              <w:t>0.1992</w:t>
            </w:r>
          </w:p>
        </w:tc>
        <w:tc>
          <w:tcPr>
            <w:tcW w:w="1601" w:type="dxa"/>
            <w:vAlign w:val="center"/>
          </w:tcPr>
          <w:p w:rsidR="001B26A1" w:rsidRDefault="00000000" w14:paraId="307B11BC" w14:textId="77777777">
            <w:pPr>
              <w:rPr>
                <w:rFonts w:hint="eastAsia"/>
              </w:rPr>
            </w:pPr>
            <w:r>
              <w:rPr>
                <w:sz w:val="18"/>
              </w:rPr>
              <w:t>0.3033</w:t>
            </w:r>
          </w:p>
        </w:tc>
        <w:tc>
          <w:tcPr>
            <w:tcW w:w="1601" w:type="dxa"/>
            <w:vAlign w:val="center"/>
          </w:tcPr>
          <w:p w:rsidR="001B26A1" w:rsidRDefault="00000000" w14:paraId="7C6438C1" w14:textId="77777777">
            <w:pPr>
              <w:rPr>
                <w:rFonts w:hint="eastAsia"/>
              </w:rPr>
            </w:pPr>
            <w:r>
              <w:rPr>
                <w:sz w:val="18"/>
              </w:rPr>
              <w:t>0.5557</w:t>
            </w:r>
          </w:p>
        </w:tc>
        <w:tc>
          <w:tcPr>
            <w:tcW w:w="1601" w:type="dxa"/>
            <w:vAlign w:val="center"/>
          </w:tcPr>
          <w:p w:rsidR="001B26A1" w:rsidRDefault="00000000" w14:paraId="2BE22DB0" w14:textId="77777777">
            <w:pPr>
              <w:rPr>
                <w:rFonts w:hint="eastAsia"/>
              </w:rPr>
            </w:pPr>
            <w:r>
              <w:rPr>
                <w:sz w:val="18"/>
              </w:rPr>
              <w:t>Best raw test fit, not selected</w:t>
            </w:r>
          </w:p>
        </w:tc>
      </w:tr>
      <w:tr w:rsidR="001B26A1" w14:paraId="7BE4133B" w14:textId="77777777">
        <w:trPr>
          <w:jc w:val="center"/>
        </w:trPr>
        <w:tc>
          <w:tcPr>
            <w:tcW w:w="1601" w:type="dxa"/>
            <w:vAlign w:val="center"/>
          </w:tcPr>
          <w:p w:rsidR="001B26A1" w:rsidRDefault="00000000" w14:paraId="4D4CF25D" w14:textId="77777777">
            <w:pPr>
              <w:rPr>
                <w:rFonts w:hint="eastAsia"/>
              </w:rPr>
            </w:pPr>
            <w:r>
              <w:rPr>
                <w:sz w:val="18"/>
              </w:rPr>
              <w:t>A_city_capacity</w:t>
            </w:r>
          </w:p>
        </w:tc>
        <w:tc>
          <w:tcPr>
            <w:tcW w:w="1601" w:type="dxa"/>
            <w:vAlign w:val="center"/>
          </w:tcPr>
          <w:p w:rsidR="001B26A1" w:rsidRDefault="00000000" w14:paraId="1BFAA5D7" w14:textId="77777777">
            <w:pPr>
              <w:rPr>
                <w:rFonts w:hint="eastAsia"/>
              </w:rPr>
            </w:pPr>
            <w:r>
              <w:rPr>
                <w:sz w:val="18"/>
              </w:rPr>
              <w:t>PoissonRegressor</w:t>
            </w:r>
          </w:p>
        </w:tc>
        <w:tc>
          <w:tcPr>
            <w:tcW w:w="1601" w:type="dxa"/>
            <w:vAlign w:val="center"/>
          </w:tcPr>
          <w:p w:rsidR="001B26A1" w:rsidRDefault="00000000" w14:paraId="79B8EA97" w14:textId="77777777">
            <w:pPr>
              <w:rPr>
                <w:rFonts w:hint="eastAsia"/>
              </w:rPr>
            </w:pPr>
            <w:r>
              <w:rPr>
                <w:sz w:val="18"/>
              </w:rPr>
              <w:t>0.2427</w:t>
            </w:r>
          </w:p>
        </w:tc>
        <w:tc>
          <w:tcPr>
            <w:tcW w:w="1601" w:type="dxa"/>
            <w:vAlign w:val="center"/>
          </w:tcPr>
          <w:p w:rsidR="001B26A1" w:rsidRDefault="00000000" w14:paraId="460C999E" w14:textId="77777777">
            <w:pPr>
              <w:rPr>
                <w:rFonts w:hint="eastAsia"/>
              </w:rPr>
            </w:pPr>
            <w:r>
              <w:rPr>
                <w:sz w:val="18"/>
              </w:rPr>
              <w:t>0.4156</w:t>
            </w:r>
          </w:p>
        </w:tc>
        <w:tc>
          <w:tcPr>
            <w:tcW w:w="1601" w:type="dxa"/>
            <w:vAlign w:val="center"/>
          </w:tcPr>
          <w:p w:rsidR="001B26A1" w:rsidRDefault="00000000" w14:paraId="6C6E187D" w14:textId="77777777">
            <w:pPr>
              <w:rPr>
                <w:rFonts w:hint="eastAsia"/>
              </w:rPr>
            </w:pPr>
            <w:r>
              <w:rPr>
                <w:sz w:val="18"/>
              </w:rPr>
              <w:t>0.1660</w:t>
            </w:r>
          </w:p>
        </w:tc>
        <w:tc>
          <w:tcPr>
            <w:tcW w:w="1601" w:type="dxa"/>
            <w:vAlign w:val="center"/>
          </w:tcPr>
          <w:p w:rsidR="001B26A1" w:rsidRDefault="00000000" w14:paraId="56AE684C" w14:textId="77777777">
            <w:pPr>
              <w:rPr>
                <w:rFonts w:hint="eastAsia"/>
              </w:rPr>
            </w:pPr>
            <w:r>
              <w:rPr>
                <w:sz w:val="18"/>
              </w:rPr>
              <w:t>Count baseline</w:t>
            </w:r>
          </w:p>
        </w:tc>
      </w:tr>
    </w:tbl>
    <w:p w:rsidR="001B26A1" w:rsidRDefault="001B26A1" w14:paraId="77C2C6A6" w14:textId="77777777">
      <w:pPr>
        <w:rPr>
          <w:rFonts w:hint="eastAsia"/>
        </w:rPr>
      </w:pPr>
    </w:p>
    <w:p w:rsidR="001B26A1" w:rsidP="00BE740B" w:rsidRDefault="00000000" w14:paraId="064BD70D" w14:textId="77777777">
      <w:pPr>
        <w:spacing w:after="120"/>
        <w:rPr>
          <w:rFonts w:hint="eastAsia"/>
        </w:rPr>
      </w:pPr>
      <w:r>
        <w:rPr>
          <w:sz w:val="22"/>
        </w:rPr>
        <w:t xml:space="preserve">The feature engineering result was important: the best validation fit came from the simplest city-capacity version. </w:t>
      </w:r>
      <w:r>
        <w:rPr>
          <w:sz w:val="22"/>
        </w:rPr>
        <w:br/>
      </w:r>
      <w:r>
        <w:rPr>
          <w:sz w:val="22"/>
        </w:rPr>
        <w:t xml:space="preserve">This means that dealer-count capacity is driven mainly by local market size and density, not by the broader state segmentation variables that mattered in Stage 1. </w:t>
      </w:r>
      <w:r>
        <w:rPr>
          <w:sz w:val="22"/>
        </w:rPr>
        <w:br/>
      </w:r>
      <w:r>
        <w:rPr>
          <w:sz w:val="22"/>
        </w:rPr>
        <w:t>That contrast between Stage 1 and Stage 2 is economically meaningful. Stage 1 behaves like an entry problem; Stage 2 behaves like a capacity problem.</w:t>
      </w:r>
    </w:p>
    <w:p w:rsidR="001B26A1" w:rsidRDefault="00000000" w14:paraId="2685D43B" w14:textId="77777777">
      <w:pPr>
        <w:spacing w:after="120"/>
        <w:rPr>
          <w:rFonts w:hint="eastAsia"/>
        </w:rPr>
      </w:pPr>
      <w:r>
        <w:rPr>
          <w:b/>
          <w:color w:val="1F4E79"/>
          <w:sz w:val="25"/>
        </w:rPr>
        <w:t>4.3 Final tuning results</w:t>
      </w:r>
    </w:p>
    <w:tbl>
      <w:tblPr>
        <w:tblStyle w:val="aff1"/>
        <w:tblW w:w="0" w:type="auto"/>
        <w:jc w:val="center"/>
        <w:tblLook w:val="04A0" w:firstRow="1" w:lastRow="0" w:firstColumn="1" w:lastColumn="0" w:noHBand="0" w:noVBand="1"/>
      </w:tblPr>
      <w:tblGrid>
        <w:gridCol w:w="1601"/>
        <w:gridCol w:w="1636"/>
        <w:gridCol w:w="1601"/>
        <w:gridCol w:w="1601"/>
        <w:gridCol w:w="1601"/>
        <w:gridCol w:w="1601"/>
      </w:tblGrid>
      <w:tr w:rsidR="001B26A1" w14:paraId="0E390D4D" w14:textId="77777777">
        <w:trPr>
          <w:tblHeader/>
          <w:jc w:val="center"/>
        </w:trPr>
        <w:tc>
          <w:tcPr>
            <w:tcW w:w="1601" w:type="dxa"/>
            <w:shd w:val="clear" w:color="auto" w:fill="D9E2F3"/>
            <w:vAlign w:val="center"/>
          </w:tcPr>
          <w:p w:rsidR="001B26A1" w:rsidRDefault="00000000" w14:paraId="772BB259" w14:textId="77777777">
            <w:pPr>
              <w:jc w:val="center"/>
              <w:rPr>
                <w:rFonts w:hint="eastAsia"/>
              </w:rPr>
            </w:pPr>
            <w:r>
              <w:rPr>
                <w:b/>
                <w:sz w:val="18"/>
              </w:rPr>
              <w:t>Model</w:t>
            </w:r>
          </w:p>
        </w:tc>
        <w:tc>
          <w:tcPr>
            <w:tcW w:w="1601" w:type="dxa"/>
            <w:shd w:val="clear" w:color="auto" w:fill="D9E2F3"/>
            <w:vAlign w:val="center"/>
          </w:tcPr>
          <w:p w:rsidR="001B26A1" w:rsidRDefault="00000000" w14:paraId="6265F525" w14:textId="77777777">
            <w:pPr>
              <w:jc w:val="center"/>
              <w:rPr>
                <w:rFonts w:hint="eastAsia"/>
              </w:rPr>
            </w:pPr>
            <w:r>
              <w:rPr>
                <w:b/>
                <w:sz w:val="18"/>
              </w:rPr>
              <w:t>Key parameters</w:t>
            </w:r>
          </w:p>
        </w:tc>
        <w:tc>
          <w:tcPr>
            <w:tcW w:w="1601" w:type="dxa"/>
            <w:shd w:val="clear" w:color="auto" w:fill="D9E2F3"/>
            <w:vAlign w:val="center"/>
          </w:tcPr>
          <w:p w:rsidR="001B26A1" w:rsidRDefault="00000000" w14:paraId="7C7A6D2C" w14:textId="77777777">
            <w:pPr>
              <w:jc w:val="center"/>
              <w:rPr>
                <w:rFonts w:hint="eastAsia"/>
              </w:rPr>
            </w:pPr>
            <w:r>
              <w:rPr>
                <w:b/>
                <w:sz w:val="18"/>
              </w:rPr>
              <w:t>Val RMSE</w:t>
            </w:r>
          </w:p>
        </w:tc>
        <w:tc>
          <w:tcPr>
            <w:tcW w:w="1601" w:type="dxa"/>
            <w:shd w:val="clear" w:color="auto" w:fill="D9E2F3"/>
            <w:vAlign w:val="center"/>
          </w:tcPr>
          <w:p w:rsidR="001B26A1" w:rsidRDefault="00000000" w14:paraId="7FBB1DED" w14:textId="77777777">
            <w:pPr>
              <w:jc w:val="center"/>
              <w:rPr>
                <w:rFonts w:hint="eastAsia"/>
              </w:rPr>
            </w:pPr>
            <w:r>
              <w:rPr>
                <w:b/>
                <w:sz w:val="18"/>
              </w:rPr>
              <w:t>Test RMSE</w:t>
            </w:r>
          </w:p>
        </w:tc>
        <w:tc>
          <w:tcPr>
            <w:tcW w:w="1601" w:type="dxa"/>
            <w:shd w:val="clear" w:color="auto" w:fill="D9E2F3"/>
            <w:vAlign w:val="center"/>
          </w:tcPr>
          <w:p w:rsidR="001B26A1" w:rsidRDefault="00000000" w14:paraId="48781159" w14:textId="77777777">
            <w:pPr>
              <w:jc w:val="center"/>
              <w:rPr>
                <w:rFonts w:hint="eastAsia"/>
              </w:rPr>
            </w:pPr>
            <w:r>
              <w:rPr>
                <w:b/>
                <w:sz w:val="18"/>
              </w:rPr>
              <w:t>Test R²</w:t>
            </w:r>
          </w:p>
        </w:tc>
        <w:tc>
          <w:tcPr>
            <w:tcW w:w="1601" w:type="dxa"/>
            <w:shd w:val="clear" w:color="auto" w:fill="D9E2F3"/>
            <w:vAlign w:val="center"/>
          </w:tcPr>
          <w:p w:rsidR="001B26A1" w:rsidRDefault="00000000" w14:paraId="413E4DBC" w14:textId="77777777">
            <w:pPr>
              <w:jc w:val="center"/>
              <w:rPr>
                <w:rFonts w:hint="eastAsia"/>
              </w:rPr>
            </w:pPr>
            <w:r>
              <w:rPr>
                <w:b/>
                <w:sz w:val="18"/>
              </w:rPr>
              <w:t>Conclusion</w:t>
            </w:r>
          </w:p>
        </w:tc>
      </w:tr>
      <w:tr w:rsidR="001B26A1" w14:paraId="35DE0B0B" w14:textId="77777777">
        <w:trPr>
          <w:jc w:val="center"/>
        </w:trPr>
        <w:tc>
          <w:tcPr>
            <w:tcW w:w="1601" w:type="dxa"/>
            <w:vAlign w:val="center"/>
          </w:tcPr>
          <w:p w:rsidR="001B26A1" w:rsidRDefault="00000000" w14:paraId="3DBFFAF2" w14:textId="77777777">
            <w:pPr>
              <w:rPr>
                <w:rFonts w:hint="eastAsia"/>
              </w:rPr>
            </w:pPr>
            <w:r>
              <w:rPr>
                <w:sz w:val="18"/>
              </w:rPr>
              <w:t>Best Poisson</w:t>
            </w:r>
          </w:p>
        </w:tc>
        <w:tc>
          <w:tcPr>
            <w:tcW w:w="1601" w:type="dxa"/>
            <w:vAlign w:val="center"/>
          </w:tcPr>
          <w:p w:rsidR="001B26A1" w:rsidRDefault="00000000" w14:paraId="090AE3B1" w14:textId="77777777">
            <w:pPr>
              <w:rPr>
                <w:rFonts w:hint="eastAsia"/>
              </w:rPr>
            </w:pPr>
            <w:r>
              <w:rPr>
                <w:sz w:val="18"/>
              </w:rPr>
              <w:t>alpha = 0.01</w:t>
            </w:r>
          </w:p>
        </w:tc>
        <w:tc>
          <w:tcPr>
            <w:tcW w:w="1601" w:type="dxa"/>
            <w:vAlign w:val="center"/>
          </w:tcPr>
          <w:p w:rsidR="001B26A1" w:rsidRDefault="00000000" w14:paraId="01CDC59C" w14:textId="77777777">
            <w:pPr>
              <w:rPr>
                <w:rFonts w:hint="eastAsia"/>
              </w:rPr>
            </w:pPr>
            <w:r>
              <w:rPr>
                <w:sz w:val="18"/>
              </w:rPr>
              <w:t>0.2337</w:t>
            </w:r>
          </w:p>
        </w:tc>
        <w:tc>
          <w:tcPr>
            <w:tcW w:w="1601" w:type="dxa"/>
            <w:vAlign w:val="center"/>
          </w:tcPr>
          <w:p w:rsidR="001B26A1" w:rsidRDefault="00000000" w14:paraId="4E22B003" w14:textId="77777777">
            <w:pPr>
              <w:rPr>
                <w:rFonts w:hint="eastAsia"/>
              </w:rPr>
            </w:pPr>
            <w:r>
              <w:rPr>
                <w:sz w:val="18"/>
              </w:rPr>
              <w:t>0.3898</w:t>
            </w:r>
          </w:p>
        </w:tc>
        <w:tc>
          <w:tcPr>
            <w:tcW w:w="1601" w:type="dxa"/>
            <w:vAlign w:val="center"/>
          </w:tcPr>
          <w:p w:rsidR="001B26A1" w:rsidRDefault="00000000" w14:paraId="23C741BB" w14:textId="77777777">
            <w:pPr>
              <w:rPr>
                <w:rFonts w:hint="eastAsia"/>
              </w:rPr>
            </w:pPr>
            <w:r>
              <w:rPr>
                <w:sz w:val="18"/>
              </w:rPr>
              <w:t>0.266</w:t>
            </w:r>
          </w:p>
        </w:tc>
        <w:tc>
          <w:tcPr>
            <w:tcW w:w="1601" w:type="dxa"/>
            <w:vAlign w:val="center"/>
          </w:tcPr>
          <w:p w:rsidR="001B26A1" w:rsidRDefault="00000000" w14:paraId="2E3156DC" w14:textId="77777777">
            <w:pPr>
              <w:rPr>
                <w:rFonts w:hint="eastAsia"/>
              </w:rPr>
            </w:pPr>
            <w:r>
              <w:rPr>
                <w:sz w:val="18"/>
              </w:rPr>
              <w:t>Useful baseline, materially weaker</w:t>
            </w:r>
          </w:p>
        </w:tc>
      </w:tr>
      <w:tr w:rsidR="001B26A1" w14:paraId="0EE02588" w14:textId="77777777">
        <w:trPr>
          <w:jc w:val="center"/>
        </w:trPr>
        <w:tc>
          <w:tcPr>
            <w:tcW w:w="1601" w:type="dxa"/>
            <w:vAlign w:val="center"/>
          </w:tcPr>
          <w:p w:rsidR="001B26A1" w:rsidRDefault="00000000" w14:paraId="225A65A9" w14:textId="77777777">
            <w:pPr>
              <w:rPr>
                <w:rFonts w:hint="eastAsia"/>
              </w:rPr>
            </w:pPr>
            <w:r>
              <w:rPr>
                <w:sz w:val="18"/>
              </w:rPr>
              <w:t>Best Random Forest</w:t>
            </w:r>
          </w:p>
        </w:tc>
        <w:tc>
          <w:tcPr>
            <w:tcW w:w="1601" w:type="dxa"/>
            <w:vAlign w:val="center"/>
          </w:tcPr>
          <w:p w:rsidR="001B26A1" w:rsidRDefault="00000000" w14:paraId="00FAD4DF" w14:textId="77777777">
            <w:pPr>
              <w:rPr>
                <w:rFonts w:hint="eastAsia"/>
              </w:rPr>
            </w:pPr>
            <w:r>
              <w:rPr>
                <w:sz w:val="18"/>
              </w:rPr>
              <w:t>n_estimators = 200, max_depth = None, min_samples_leaf = 5, max_features = 0.5</w:t>
            </w:r>
          </w:p>
        </w:tc>
        <w:tc>
          <w:tcPr>
            <w:tcW w:w="1601" w:type="dxa"/>
            <w:vAlign w:val="center"/>
          </w:tcPr>
          <w:p w:rsidR="001B26A1" w:rsidRDefault="00000000" w14:paraId="31C525A3" w14:textId="77777777">
            <w:pPr>
              <w:rPr>
                <w:rFonts w:hint="eastAsia"/>
              </w:rPr>
            </w:pPr>
            <w:r>
              <w:rPr>
                <w:sz w:val="18"/>
              </w:rPr>
              <w:t>0.1773</w:t>
            </w:r>
          </w:p>
        </w:tc>
        <w:tc>
          <w:tcPr>
            <w:tcW w:w="1601" w:type="dxa"/>
            <w:vAlign w:val="center"/>
          </w:tcPr>
          <w:p w:rsidR="001B26A1" w:rsidRDefault="00000000" w14:paraId="7341A1A6" w14:textId="77777777">
            <w:pPr>
              <w:rPr>
                <w:rFonts w:hint="eastAsia"/>
              </w:rPr>
            </w:pPr>
            <w:r>
              <w:rPr>
                <w:sz w:val="18"/>
              </w:rPr>
              <w:t>0.3218</w:t>
            </w:r>
          </w:p>
        </w:tc>
        <w:tc>
          <w:tcPr>
            <w:tcW w:w="1601" w:type="dxa"/>
            <w:vAlign w:val="center"/>
          </w:tcPr>
          <w:p w:rsidR="001B26A1" w:rsidRDefault="00000000" w14:paraId="37E354EE" w14:textId="77777777">
            <w:pPr>
              <w:rPr>
                <w:rFonts w:hint="eastAsia"/>
              </w:rPr>
            </w:pPr>
            <w:r>
              <w:rPr>
                <w:sz w:val="18"/>
              </w:rPr>
              <w:t>0.500</w:t>
            </w:r>
          </w:p>
        </w:tc>
        <w:tc>
          <w:tcPr>
            <w:tcW w:w="1601" w:type="dxa"/>
            <w:vAlign w:val="center"/>
          </w:tcPr>
          <w:p w:rsidR="001B26A1" w:rsidRDefault="00000000" w14:paraId="273DF4AC" w14:textId="77777777">
            <w:pPr>
              <w:rPr>
                <w:rFonts w:hint="eastAsia"/>
              </w:rPr>
            </w:pPr>
            <w:r>
              <w:rPr>
                <w:sz w:val="18"/>
              </w:rPr>
              <w:t>Final Stage 2 model</w:t>
            </w:r>
          </w:p>
        </w:tc>
      </w:tr>
    </w:tbl>
    <w:p w:rsidR="001B26A1" w:rsidRDefault="001B26A1" w14:paraId="480C8AFA" w14:textId="77777777">
      <w:pPr>
        <w:rPr>
          <w:rFonts w:hint="eastAsia"/>
        </w:rPr>
      </w:pPr>
    </w:p>
    <w:p w:rsidR="001B26A1" w:rsidRDefault="00000000" w14:paraId="243C77FB" w14:textId="77777777">
      <w:pPr>
        <w:jc w:val="center"/>
        <w:rPr>
          <w:rFonts w:hint="eastAsia"/>
        </w:rPr>
      </w:pPr>
      <w:r>
        <w:rPr>
          <w:noProof/>
        </w:rPr>
        <w:drawing>
          <wp:inline distT="0" distB="0" distL="0" distR="0" wp14:anchorId="59CAFA27" wp14:editId="5AEB8042">
            <wp:extent cx="5303520" cy="5318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07ce88-142b-4773-bdc4-ad45a9b46e19.png"/>
                    <pic:cNvPicPr/>
                  </pic:nvPicPr>
                  <pic:blipFill>
                    <a:blip r:embed="rId7"/>
                    <a:stretch>
                      <a:fillRect/>
                    </a:stretch>
                  </pic:blipFill>
                  <pic:spPr>
                    <a:xfrm>
                      <a:off x="0" y="0"/>
                      <a:ext cx="5303520" cy="5318782"/>
                    </a:xfrm>
                    <a:prstGeom prst="rect">
                      <a:avLst/>
                    </a:prstGeom>
                  </pic:spPr>
                </pic:pic>
              </a:graphicData>
            </a:graphic>
          </wp:inline>
        </w:drawing>
      </w:r>
    </w:p>
    <w:p w:rsidR="001B26A1" w:rsidRDefault="00000000" w14:paraId="3ED3A5E2" w14:textId="77777777">
      <w:pPr>
        <w:jc w:val="center"/>
        <w:rPr>
          <w:rFonts w:hint="eastAsia"/>
        </w:rPr>
      </w:pPr>
      <w:r>
        <w:rPr>
          <w:i/>
          <w:sz w:val="18"/>
        </w:rPr>
        <w:t>Figure 2. Screenshot of the final Stage 2 tuned model comparison based on A_city_capacity features.</w:t>
      </w:r>
    </w:p>
    <w:p w:rsidR="001B26A1" w:rsidRDefault="00000000" w14:paraId="588FB6CD" w14:textId="77777777">
      <w:pPr>
        <w:spacing w:after="120"/>
        <w:jc w:val="both"/>
        <w:rPr>
          <w:rFonts w:hint="eastAsia"/>
        </w:rPr>
      </w:pPr>
      <w:r>
        <w:rPr>
          <w:sz w:val="22"/>
        </w:rPr>
        <w:t xml:space="preserve">After tuning, the Random Forest regressor remained clearly superior to the Poisson baseline. </w:t>
      </w:r>
      <w:r>
        <w:rPr>
          <w:sz w:val="22"/>
        </w:rPr>
        <w:br/>
      </w:r>
      <w:r>
        <w:rPr>
          <w:sz w:val="22"/>
        </w:rPr>
        <w:t xml:space="preserve">It achieved both lower validation RMSE and substantially higher explanatory power on the test set. </w:t>
      </w:r>
      <w:r>
        <w:rPr>
          <w:sz w:val="22"/>
        </w:rPr>
        <w:br/>
      </w:r>
      <w:r>
        <w:rPr>
          <w:sz w:val="22"/>
        </w:rPr>
        <w:t>This was the final evidence for selecting a tree-based nonlinear capacity model rather than a simple count regression.</w:t>
      </w:r>
    </w:p>
    <w:p w:rsidR="001B26A1" w:rsidRDefault="00000000" w14:paraId="1C64BF4D" w14:textId="77777777">
      <w:pPr>
        <w:spacing w:after="120"/>
        <w:rPr>
          <w:rFonts w:hint="eastAsia"/>
        </w:rPr>
      </w:pPr>
      <w:r>
        <w:rPr>
          <w:b/>
          <w:color w:val="1F4E79"/>
          <w:sz w:val="25"/>
        </w:rPr>
        <w:t>4.4 Feature importance and interpretation</w:t>
      </w:r>
    </w:p>
    <w:p w:rsidR="001B26A1" w:rsidP="00BE740B" w:rsidRDefault="00000000" w14:paraId="600BA4DE" w14:textId="77777777">
      <w:pPr>
        <w:spacing w:after="120"/>
        <w:rPr>
          <w:rFonts w:hint="eastAsia"/>
        </w:rPr>
      </w:pPr>
      <w:r>
        <w:rPr>
          <w:sz w:val="22"/>
        </w:rPr>
        <w:t xml:space="preserve">Feature importance checks on the final Random Forest showed a highly concentrated signal structure. </w:t>
      </w:r>
      <w:r>
        <w:rPr>
          <w:sz w:val="22"/>
        </w:rPr>
        <w:br/>
      </w:r>
      <w:r>
        <w:rPr>
          <w:sz w:val="22"/>
        </w:rPr>
        <w:t xml:space="preserve">Population was overwhelmingly dominant, density added only a small amount of extra signal, and incorporated contributed almost nothing. </w:t>
      </w:r>
      <w:r>
        <w:rPr>
          <w:sz w:val="22"/>
        </w:rPr>
        <w:br/>
      </w:r>
      <w:r>
        <w:rPr>
          <w:sz w:val="22"/>
        </w:rPr>
        <w:t>This finding aligned perfectly with the Stage 2 feature engineering result: dealer-count prediction in already served cities is mainly a city-capacity problem.</w:t>
      </w:r>
    </w:p>
    <w:tbl>
      <w:tblPr>
        <w:tblStyle w:val="aff1"/>
        <w:tblW w:w="0" w:type="auto"/>
        <w:jc w:val="center"/>
        <w:tblLook w:val="04A0" w:firstRow="1" w:lastRow="0" w:firstColumn="1" w:lastColumn="0" w:noHBand="0" w:noVBand="1"/>
      </w:tblPr>
      <w:tblGrid>
        <w:gridCol w:w="2401"/>
        <w:gridCol w:w="2401"/>
        <w:gridCol w:w="2401"/>
        <w:gridCol w:w="2401"/>
      </w:tblGrid>
      <w:tr w:rsidR="001B26A1" w14:paraId="42AF5EF3" w14:textId="77777777">
        <w:trPr>
          <w:tblHeader/>
          <w:jc w:val="center"/>
        </w:trPr>
        <w:tc>
          <w:tcPr>
            <w:tcW w:w="2401" w:type="dxa"/>
            <w:shd w:val="clear" w:color="auto" w:fill="D9E2F3"/>
            <w:vAlign w:val="center"/>
          </w:tcPr>
          <w:p w:rsidR="001B26A1" w:rsidRDefault="00000000" w14:paraId="39C0C5D2" w14:textId="77777777">
            <w:pPr>
              <w:jc w:val="center"/>
              <w:rPr>
                <w:rFonts w:hint="eastAsia"/>
              </w:rPr>
            </w:pPr>
            <w:r>
              <w:rPr>
                <w:b/>
                <w:sz w:val="18"/>
              </w:rPr>
              <w:t>Measure</w:t>
            </w:r>
          </w:p>
        </w:tc>
        <w:tc>
          <w:tcPr>
            <w:tcW w:w="2401" w:type="dxa"/>
            <w:shd w:val="clear" w:color="auto" w:fill="D9E2F3"/>
            <w:vAlign w:val="center"/>
          </w:tcPr>
          <w:p w:rsidR="001B26A1" w:rsidRDefault="00000000" w14:paraId="3371D5B8" w14:textId="77777777">
            <w:pPr>
              <w:jc w:val="center"/>
              <w:rPr>
                <w:rFonts w:hint="eastAsia"/>
              </w:rPr>
            </w:pPr>
            <w:r>
              <w:rPr>
                <w:b/>
                <w:sz w:val="18"/>
              </w:rPr>
              <w:t>log_population</w:t>
            </w:r>
          </w:p>
        </w:tc>
        <w:tc>
          <w:tcPr>
            <w:tcW w:w="2401" w:type="dxa"/>
            <w:shd w:val="clear" w:color="auto" w:fill="D9E2F3"/>
            <w:vAlign w:val="center"/>
          </w:tcPr>
          <w:p w:rsidR="001B26A1" w:rsidRDefault="00000000" w14:paraId="3120B1D0" w14:textId="77777777">
            <w:pPr>
              <w:jc w:val="center"/>
              <w:rPr>
                <w:rFonts w:hint="eastAsia"/>
              </w:rPr>
            </w:pPr>
            <w:r>
              <w:rPr>
                <w:b/>
                <w:sz w:val="18"/>
              </w:rPr>
              <w:t>log_density</w:t>
            </w:r>
          </w:p>
        </w:tc>
        <w:tc>
          <w:tcPr>
            <w:tcW w:w="2401" w:type="dxa"/>
            <w:shd w:val="clear" w:color="auto" w:fill="D9E2F3"/>
            <w:vAlign w:val="center"/>
          </w:tcPr>
          <w:p w:rsidR="001B26A1" w:rsidRDefault="00000000" w14:paraId="4E52345B" w14:textId="77777777">
            <w:pPr>
              <w:jc w:val="center"/>
              <w:rPr>
                <w:rFonts w:hint="eastAsia"/>
              </w:rPr>
            </w:pPr>
            <w:r>
              <w:rPr>
                <w:b/>
                <w:sz w:val="18"/>
              </w:rPr>
              <w:t>incorporated</w:t>
            </w:r>
          </w:p>
        </w:tc>
      </w:tr>
      <w:tr w:rsidR="001B26A1" w14:paraId="4CD2C671" w14:textId="77777777">
        <w:trPr>
          <w:jc w:val="center"/>
        </w:trPr>
        <w:tc>
          <w:tcPr>
            <w:tcW w:w="2401" w:type="dxa"/>
            <w:vAlign w:val="center"/>
          </w:tcPr>
          <w:p w:rsidR="001B26A1" w:rsidRDefault="00000000" w14:paraId="5CDA6C96" w14:textId="77777777">
            <w:pPr>
              <w:rPr>
                <w:rFonts w:hint="eastAsia"/>
              </w:rPr>
            </w:pPr>
            <w:r>
              <w:rPr>
                <w:sz w:val="18"/>
              </w:rPr>
              <w:t>Grouped MDI importance</w:t>
            </w:r>
          </w:p>
        </w:tc>
        <w:tc>
          <w:tcPr>
            <w:tcW w:w="2401" w:type="dxa"/>
            <w:vAlign w:val="center"/>
          </w:tcPr>
          <w:p w:rsidR="001B26A1" w:rsidRDefault="00000000" w14:paraId="4284AE4D" w14:textId="77777777">
            <w:pPr>
              <w:rPr>
                <w:rFonts w:hint="eastAsia"/>
              </w:rPr>
            </w:pPr>
            <w:r>
              <w:rPr>
                <w:sz w:val="18"/>
              </w:rPr>
              <w:t>0.912</w:t>
            </w:r>
          </w:p>
        </w:tc>
        <w:tc>
          <w:tcPr>
            <w:tcW w:w="2401" w:type="dxa"/>
            <w:vAlign w:val="center"/>
          </w:tcPr>
          <w:p w:rsidR="001B26A1" w:rsidRDefault="00000000" w14:paraId="771FAAD1" w14:textId="77777777">
            <w:pPr>
              <w:rPr>
                <w:rFonts w:hint="eastAsia"/>
              </w:rPr>
            </w:pPr>
            <w:r>
              <w:rPr>
                <w:sz w:val="18"/>
              </w:rPr>
              <w:t>0.087</w:t>
            </w:r>
          </w:p>
        </w:tc>
        <w:tc>
          <w:tcPr>
            <w:tcW w:w="2401" w:type="dxa"/>
            <w:vAlign w:val="center"/>
          </w:tcPr>
          <w:p w:rsidR="001B26A1" w:rsidRDefault="00000000" w14:paraId="14E914E1" w14:textId="77777777">
            <w:pPr>
              <w:rPr>
                <w:rFonts w:hint="eastAsia"/>
              </w:rPr>
            </w:pPr>
            <w:r>
              <w:rPr>
                <w:sz w:val="18"/>
              </w:rPr>
              <w:t>0.001</w:t>
            </w:r>
          </w:p>
        </w:tc>
      </w:tr>
      <w:tr w:rsidR="001B26A1" w14:paraId="6F4B93FE" w14:textId="77777777">
        <w:trPr>
          <w:jc w:val="center"/>
        </w:trPr>
        <w:tc>
          <w:tcPr>
            <w:tcW w:w="2401" w:type="dxa"/>
            <w:vAlign w:val="center"/>
          </w:tcPr>
          <w:p w:rsidR="001B26A1" w:rsidRDefault="00000000" w14:paraId="4D13BA90" w14:textId="77777777">
            <w:pPr>
              <w:rPr>
                <w:rFonts w:hint="eastAsia"/>
              </w:rPr>
            </w:pPr>
            <w:r>
              <w:rPr>
                <w:sz w:val="18"/>
              </w:rPr>
              <w:t>Permutation importance</w:t>
            </w:r>
          </w:p>
        </w:tc>
        <w:tc>
          <w:tcPr>
            <w:tcW w:w="2401" w:type="dxa"/>
            <w:vAlign w:val="center"/>
          </w:tcPr>
          <w:p w:rsidR="001B26A1" w:rsidRDefault="00000000" w14:paraId="08E8F42B" w14:textId="77777777">
            <w:pPr>
              <w:rPr>
                <w:rFonts w:hint="eastAsia"/>
              </w:rPr>
            </w:pPr>
            <w:r>
              <w:rPr>
                <w:sz w:val="18"/>
              </w:rPr>
              <w:t>0.1895</w:t>
            </w:r>
          </w:p>
        </w:tc>
        <w:tc>
          <w:tcPr>
            <w:tcW w:w="2401" w:type="dxa"/>
            <w:vAlign w:val="center"/>
          </w:tcPr>
          <w:p w:rsidR="001B26A1" w:rsidRDefault="00000000" w14:paraId="6BEBBE88" w14:textId="77777777">
            <w:pPr>
              <w:rPr>
                <w:rFonts w:hint="eastAsia"/>
              </w:rPr>
            </w:pPr>
            <w:r>
              <w:rPr>
                <w:sz w:val="18"/>
              </w:rPr>
              <w:t>0.0025</w:t>
            </w:r>
          </w:p>
        </w:tc>
        <w:tc>
          <w:tcPr>
            <w:tcW w:w="2401" w:type="dxa"/>
            <w:vAlign w:val="center"/>
          </w:tcPr>
          <w:p w:rsidR="001B26A1" w:rsidRDefault="00000000" w14:paraId="4DF947FD" w14:textId="77777777">
            <w:pPr>
              <w:rPr>
                <w:rFonts w:hint="eastAsia"/>
              </w:rPr>
            </w:pPr>
            <w:r>
              <w:rPr>
                <w:sz w:val="18"/>
              </w:rPr>
              <w:t>0.0004</w:t>
            </w:r>
          </w:p>
        </w:tc>
      </w:tr>
    </w:tbl>
    <w:p w:rsidR="001B26A1" w:rsidRDefault="001B26A1" w14:paraId="4179645F" w14:textId="77777777">
      <w:pPr>
        <w:rPr>
          <w:rFonts w:hint="eastAsia"/>
        </w:rPr>
      </w:pPr>
    </w:p>
    <w:p w:rsidR="001B26A1" w:rsidRDefault="00000000" w14:paraId="690C55F8" w14:textId="77777777">
      <w:pPr>
        <w:spacing w:after="160"/>
        <w:rPr>
          <w:rFonts w:hint="eastAsia"/>
        </w:rPr>
      </w:pPr>
      <w:r>
        <w:rPr>
          <w:b/>
          <w:color w:val="1F4E79"/>
          <w:sz w:val="32"/>
        </w:rPr>
        <w:t>5. Final State Recommendations and Map Interpretation</w:t>
      </w:r>
    </w:p>
    <w:p w:rsidR="001B26A1" w:rsidP="00BE740B" w:rsidRDefault="00000000" w14:paraId="194AF38C" w14:textId="77777777">
      <w:pPr>
        <w:spacing w:after="120"/>
        <w:rPr>
          <w:rFonts w:hint="eastAsia"/>
        </w:rPr>
      </w:pPr>
      <w:r>
        <w:rPr>
          <w:sz w:val="22"/>
        </w:rPr>
        <w:t xml:space="preserve">The final recommendation layer combined the tuned Stage 1 classifier with the tuned Stage 2 Random Forest regressor. </w:t>
      </w:r>
      <w:r>
        <w:rPr>
          <w:sz w:val="22"/>
        </w:rPr>
        <w:br/>
      </w:r>
      <w:r>
        <w:rPr>
          <w:sz w:val="22"/>
        </w:rPr>
        <w:t xml:space="preserve">For each city with no current Toyota dealer, the classifier estimated a high-probability entry set; for those candidate cities, the count model generated a recommended number of new dealerships. </w:t>
      </w:r>
      <w:r>
        <w:rPr>
          <w:sz w:val="22"/>
        </w:rPr>
        <w:br/>
      </w:r>
      <w:r>
        <w:rPr>
          <w:sz w:val="22"/>
        </w:rPr>
        <w:t>The final recommendation table contained 1,563 candidate city rows and 1,577 long-run recommended new dealerships.</w:t>
      </w:r>
    </w:p>
    <w:tbl>
      <w:tblPr>
        <w:tblStyle w:val="aff1"/>
        <w:tblW w:w="0" w:type="auto"/>
        <w:jc w:val="center"/>
        <w:tblLook w:val="04A0" w:firstRow="1" w:lastRow="0" w:firstColumn="1" w:lastColumn="0" w:noHBand="0" w:noVBand="1"/>
      </w:tblPr>
      <w:tblGrid>
        <w:gridCol w:w="1921"/>
        <w:gridCol w:w="1921"/>
        <w:gridCol w:w="1921"/>
        <w:gridCol w:w="1921"/>
        <w:gridCol w:w="1921"/>
      </w:tblGrid>
      <w:tr w:rsidR="001B26A1" w14:paraId="11655B99" w14:textId="77777777">
        <w:trPr>
          <w:tblHeader/>
          <w:jc w:val="center"/>
        </w:trPr>
        <w:tc>
          <w:tcPr>
            <w:tcW w:w="1921" w:type="dxa"/>
            <w:shd w:val="clear" w:color="auto" w:fill="D9E2F3"/>
            <w:vAlign w:val="center"/>
          </w:tcPr>
          <w:p w:rsidR="001B26A1" w:rsidRDefault="00000000" w14:paraId="6B6DFD46" w14:textId="77777777">
            <w:pPr>
              <w:jc w:val="center"/>
              <w:rPr>
                <w:rFonts w:hint="eastAsia"/>
              </w:rPr>
            </w:pPr>
            <w:r>
              <w:rPr>
                <w:b/>
                <w:sz w:val="18"/>
              </w:rPr>
              <w:t>State</w:t>
            </w:r>
          </w:p>
        </w:tc>
        <w:tc>
          <w:tcPr>
            <w:tcW w:w="1921" w:type="dxa"/>
            <w:shd w:val="clear" w:color="auto" w:fill="D9E2F3"/>
            <w:vAlign w:val="center"/>
          </w:tcPr>
          <w:p w:rsidR="001B26A1" w:rsidRDefault="00000000" w14:paraId="759A6834" w14:textId="77777777">
            <w:pPr>
              <w:jc w:val="center"/>
              <w:rPr>
                <w:rFonts w:hint="eastAsia"/>
              </w:rPr>
            </w:pPr>
            <w:r>
              <w:rPr>
                <w:b/>
                <w:sz w:val="18"/>
              </w:rPr>
              <w:t>Candidate cities</w:t>
            </w:r>
          </w:p>
        </w:tc>
        <w:tc>
          <w:tcPr>
            <w:tcW w:w="1921" w:type="dxa"/>
            <w:shd w:val="clear" w:color="auto" w:fill="D9E2F3"/>
            <w:vAlign w:val="center"/>
          </w:tcPr>
          <w:p w:rsidR="001B26A1" w:rsidRDefault="00000000" w14:paraId="3F9C83CF" w14:textId="77777777">
            <w:pPr>
              <w:jc w:val="center"/>
              <w:rPr>
                <w:rFonts w:hint="eastAsia"/>
              </w:rPr>
            </w:pPr>
            <w:r>
              <w:rPr>
                <w:b/>
                <w:sz w:val="18"/>
              </w:rPr>
              <w:t>Recommended new dealers</w:t>
            </w:r>
          </w:p>
        </w:tc>
        <w:tc>
          <w:tcPr>
            <w:tcW w:w="1921" w:type="dxa"/>
            <w:shd w:val="clear" w:color="auto" w:fill="D9E2F3"/>
            <w:vAlign w:val="center"/>
          </w:tcPr>
          <w:p w:rsidR="001B26A1" w:rsidRDefault="00000000" w14:paraId="72796BD8" w14:textId="77777777">
            <w:pPr>
              <w:jc w:val="center"/>
              <w:rPr>
                <w:rFonts w:hint="eastAsia"/>
              </w:rPr>
            </w:pPr>
            <w:r>
              <w:rPr>
                <w:b/>
                <w:sz w:val="18"/>
              </w:rPr>
              <w:t>Avg Stage 1 prob.</w:t>
            </w:r>
          </w:p>
        </w:tc>
        <w:tc>
          <w:tcPr>
            <w:tcW w:w="1921" w:type="dxa"/>
            <w:shd w:val="clear" w:color="auto" w:fill="D9E2F3"/>
            <w:vAlign w:val="center"/>
          </w:tcPr>
          <w:p w:rsidR="001B26A1" w:rsidRDefault="00000000" w14:paraId="372B40E5" w14:textId="77777777">
            <w:pPr>
              <w:jc w:val="center"/>
              <w:rPr>
                <w:rFonts w:hint="eastAsia"/>
              </w:rPr>
            </w:pPr>
            <w:r>
              <w:rPr>
                <w:b/>
                <w:sz w:val="18"/>
              </w:rPr>
              <w:t>Avg Stage 2 predicted count</w:t>
            </w:r>
          </w:p>
        </w:tc>
      </w:tr>
      <w:tr w:rsidR="001B26A1" w14:paraId="3972AC7D" w14:textId="77777777">
        <w:trPr>
          <w:jc w:val="center"/>
        </w:trPr>
        <w:tc>
          <w:tcPr>
            <w:tcW w:w="1921" w:type="dxa"/>
            <w:vAlign w:val="center"/>
          </w:tcPr>
          <w:p w:rsidR="001B26A1" w:rsidRDefault="00000000" w14:paraId="7877BE37" w14:textId="77777777">
            <w:pPr>
              <w:rPr>
                <w:rFonts w:hint="eastAsia"/>
              </w:rPr>
            </w:pPr>
            <w:r>
              <w:rPr>
                <w:sz w:val="18"/>
              </w:rPr>
              <w:t>California</w:t>
            </w:r>
          </w:p>
        </w:tc>
        <w:tc>
          <w:tcPr>
            <w:tcW w:w="1921" w:type="dxa"/>
            <w:vAlign w:val="center"/>
          </w:tcPr>
          <w:p w:rsidR="001B26A1" w:rsidRDefault="00000000" w14:paraId="24C948AE" w14:textId="77777777">
            <w:pPr>
              <w:rPr>
                <w:rFonts w:hint="eastAsia"/>
              </w:rPr>
            </w:pPr>
            <w:r>
              <w:rPr>
                <w:sz w:val="18"/>
              </w:rPr>
              <w:t>218</w:t>
            </w:r>
          </w:p>
        </w:tc>
        <w:tc>
          <w:tcPr>
            <w:tcW w:w="1921" w:type="dxa"/>
            <w:vAlign w:val="center"/>
          </w:tcPr>
          <w:p w:rsidR="001B26A1" w:rsidRDefault="00000000" w14:paraId="58F6090F" w14:textId="77777777">
            <w:pPr>
              <w:rPr>
                <w:rFonts w:hint="eastAsia"/>
              </w:rPr>
            </w:pPr>
            <w:r>
              <w:rPr>
                <w:sz w:val="18"/>
              </w:rPr>
              <w:t>219</w:t>
            </w:r>
          </w:p>
        </w:tc>
        <w:tc>
          <w:tcPr>
            <w:tcW w:w="1921" w:type="dxa"/>
            <w:vAlign w:val="center"/>
          </w:tcPr>
          <w:p w:rsidR="001B26A1" w:rsidRDefault="00000000" w14:paraId="71C67A15" w14:textId="77777777">
            <w:pPr>
              <w:rPr>
                <w:rFonts w:hint="eastAsia"/>
              </w:rPr>
            </w:pPr>
            <w:r>
              <w:rPr>
                <w:sz w:val="18"/>
              </w:rPr>
              <w:t>0.903</w:t>
            </w:r>
          </w:p>
        </w:tc>
        <w:tc>
          <w:tcPr>
            <w:tcW w:w="1921" w:type="dxa"/>
            <w:vAlign w:val="center"/>
          </w:tcPr>
          <w:p w:rsidR="001B26A1" w:rsidRDefault="00000000" w14:paraId="66467E93" w14:textId="77777777">
            <w:pPr>
              <w:rPr>
                <w:rFonts w:hint="eastAsia"/>
              </w:rPr>
            </w:pPr>
            <w:r>
              <w:rPr>
                <w:sz w:val="18"/>
              </w:rPr>
              <w:t>1.026</w:t>
            </w:r>
          </w:p>
        </w:tc>
      </w:tr>
      <w:tr w:rsidR="001B26A1" w14:paraId="66169850" w14:textId="77777777">
        <w:trPr>
          <w:jc w:val="center"/>
        </w:trPr>
        <w:tc>
          <w:tcPr>
            <w:tcW w:w="1921" w:type="dxa"/>
            <w:vAlign w:val="center"/>
          </w:tcPr>
          <w:p w:rsidR="001B26A1" w:rsidRDefault="00000000" w14:paraId="7F4FFE24" w14:textId="77777777">
            <w:pPr>
              <w:rPr>
                <w:rFonts w:hint="eastAsia"/>
              </w:rPr>
            </w:pPr>
            <w:r>
              <w:rPr>
                <w:sz w:val="18"/>
              </w:rPr>
              <w:t>Florida</w:t>
            </w:r>
          </w:p>
        </w:tc>
        <w:tc>
          <w:tcPr>
            <w:tcW w:w="1921" w:type="dxa"/>
            <w:vAlign w:val="center"/>
          </w:tcPr>
          <w:p w:rsidR="001B26A1" w:rsidRDefault="00000000" w14:paraId="3AD596E7" w14:textId="77777777">
            <w:pPr>
              <w:rPr>
                <w:rFonts w:hint="eastAsia"/>
              </w:rPr>
            </w:pPr>
            <w:r>
              <w:rPr>
                <w:sz w:val="18"/>
              </w:rPr>
              <w:t>128</w:t>
            </w:r>
          </w:p>
        </w:tc>
        <w:tc>
          <w:tcPr>
            <w:tcW w:w="1921" w:type="dxa"/>
            <w:vAlign w:val="center"/>
          </w:tcPr>
          <w:p w:rsidR="001B26A1" w:rsidRDefault="00000000" w14:paraId="2F0ADE15" w14:textId="77777777">
            <w:pPr>
              <w:rPr>
                <w:rFonts w:hint="eastAsia"/>
              </w:rPr>
            </w:pPr>
            <w:r>
              <w:rPr>
                <w:sz w:val="18"/>
              </w:rPr>
              <w:t>130</w:t>
            </w:r>
          </w:p>
        </w:tc>
        <w:tc>
          <w:tcPr>
            <w:tcW w:w="1921" w:type="dxa"/>
            <w:vAlign w:val="center"/>
          </w:tcPr>
          <w:p w:rsidR="001B26A1" w:rsidRDefault="00000000" w14:paraId="4EF68E04" w14:textId="77777777">
            <w:pPr>
              <w:rPr>
                <w:rFonts w:hint="eastAsia"/>
              </w:rPr>
            </w:pPr>
            <w:r>
              <w:rPr>
                <w:sz w:val="18"/>
              </w:rPr>
              <w:t>0.896</w:t>
            </w:r>
          </w:p>
        </w:tc>
        <w:tc>
          <w:tcPr>
            <w:tcW w:w="1921" w:type="dxa"/>
            <w:vAlign w:val="center"/>
          </w:tcPr>
          <w:p w:rsidR="001B26A1" w:rsidRDefault="00000000" w14:paraId="63B306BE" w14:textId="77777777">
            <w:pPr>
              <w:rPr>
                <w:rFonts w:hint="eastAsia"/>
              </w:rPr>
            </w:pPr>
            <w:r>
              <w:rPr>
                <w:sz w:val="18"/>
              </w:rPr>
              <w:t>1.033</w:t>
            </w:r>
          </w:p>
        </w:tc>
      </w:tr>
      <w:tr w:rsidR="001B26A1" w14:paraId="77E91E2B" w14:textId="77777777">
        <w:trPr>
          <w:jc w:val="center"/>
        </w:trPr>
        <w:tc>
          <w:tcPr>
            <w:tcW w:w="1921" w:type="dxa"/>
            <w:vAlign w:val="center"/>
          </w:tcPr>
          <w:p w:rsidR="001B26A1" w:rsidRDefault="00000000" w14:paraId="0BDE277B" w14:textId="77777777">
            <w:pPr>
              <w:rPr>
                <w:rFonts w:hint="eastAsia"/>
              </w:rPr>
            </w:pPr>
            <w:r>
              <w:rPr>
                <w:sz w:val="18"/>
              </w:rPr>
              <w:t>Texas</w:t>
            </w:r>
          </w:p>
        </w:tc>
        <w:tc>
          <w:tcPr>
            <w:tcW w:w="1921" w:type="dxa"/>
            <w:vAlign w:val="center"/>
          </w:tcPr>
          <w:p w:rsidR="001B26A1" w:rsidRDefault="00000000" w14:paraId="649D5B2B" w14:textId="77777777">
            <w:pPr>
              <w:rPr>
                <w:rFonts w:hint="eastAsia"/>
              </w:rPr>
            </w:pPr>
            <w:r>
              <w:rPr>
                <w:sz w:val="18"/>
              </w:rPr>
              <w:t>105</w:t>
            </w:r>
          </w:p>
        </w:tc>
        <w:tc>
          <w:tcPr>
            <w:tcW w:w="1921" w:type="dxa"/>
            <w:vAlign w:val="center"/>
          </w:tcPr>
          <w:p w:rsidR="001B26A1" w:rsidRDefault="00000000" w14:paraId="03BF7763" w14:textId="77777777">
            <w:pPr>
              <w:rPr>
                <w:rFonts w:hint="eastAsia"/>
              </w:rPr>
            </w:pPr>
            <w:r>
              <w:rPr>
                <w:sz w:val="18"/>
              </w:rPr>
              <w:t>106</w:t>
            </w:r>
          </w:p>
        </w:tc>
        <w:tc>
          <w:tcPr>
            <w:tcW w:w="1921" w:type="dxa"/>
            <w:vAlign w:val="center"/>
          </w:tcPr>
          <w:p w:rsidR="001B26A1" w:rsidRDefault="00000000" w14:paraId="6353C09E" w14:textId="77777777">
            <w:pPr>
              <w:rPr>
                <w:rFonts w:hint="eastAsia"/>
              </w:rPr>
            </w:pPr>
            <w:r>
              <w:rPr>
                <w:sz w:val="18"/>
              </w:rPr>
              <w:t>0.892</w:t>
            </w:r>
          </w:p>
        </w:tc>
        <w:tc>
          <w:tcPr>
            <w:tcW w:w="1921" w:type="dxa"/>
            <w:vAlign w:val="center"/>
          </w:tcPr>
          <w:p w:rsidR="001B26A1" w:rsidRDefault="00000000" w14:paraId="1F115B52" w14:textId="77777777">
            <w:pPr>
              <w:rPr>
                <w:rFonts w:hint="eastAsia"/>
              </w:rPr>
            </w:pPr>
            <w:r>
              <w:rPr>
                <w:sz w:val="18"/>
              </w:rPr>
              <w:t>1.012</w:t>
            </w:r>
          </w:p>
        </w:tc>
      </w:tr>
      <w:tr w:rsidR="001B26A1" w14:paraId="39E0B72C" w14:textId="77777777">
        <w:trPr>
          <w:jc w:val="center"/>
        </w:trPr>
        <w:tc>
          <w:tcPr>
            <w:tcW w:w="1921" w:type="dxa"/>
            <w:vAlign w:val="center"/>
          </w:tcPr>
          <w:p w:rsidR="001B26A1" w:rsidRDefault="00000000" w14:paraId="45375F77" w14:textId="77777777">
            <w:pPr>
              <w:rPr>
                <w:rFonts w:hint="eastAsia"/>
              </w:rPr>
            </w:pPr>
            <w:r>
              <w:rPr>
                <w:sz w:val="18"/>
              </w:rPr>
              <w:t>Illinois</w:t>
            </w:r>
          </w:p>
        </w:tc>
        <w:tc>
          <w:tcPr>
            <w:tcW w:w="1921" w:type="dxa"/>
            <w:vAlign w:val="center"/>
          </w:tcPr>
          <w:p w:rsidR="001B26A1" w:rsidRDefault="00000000" w14:paraId="78563E34" w14:textId="77777777">
            <w:pPr>
              <w:rPr>
                <w:rFonts w:hint="eastAsia"/>
              </w:rPr>
            </w:pPr>
            <w:r>
              <w:rPr>
                <w:sz w:val="18"/>
              </w:rPr>
              <w:t>103</w:t>
            </w:r>
          </w:p>
        </w:tc>
        <w:tc>
          <w:tcPr>
            <w:tcW w:w="1921" w:type="dxa"/>
            <w:vAlign w:val="center"/>
          </w:tcPr>
          <w:p w:rsidR="001B26A1" w:rsidRDefault="00000000" w14:paraId="1F9D5943" w14:textId="77777777">
            <w:pPr>
              <w:rPr>
                <w:rFonts w:hint="eastAsia"/>
              </w:rPr>
            </w:pPr>
            <w:r>
              <w:rPr>
                <w:sz w:val="18"/>
              </w:rPr>
              <w:t>103</w:t>
            </w:r>
          </w:p>
        </w:tc>
        <w:tc>
          <w:tcPr>
            <w:tcW w:w="1921" w:type="dxa"/>
            <w:vAlign w:val="center"/>
          </w:tcPr>
          <w:p w:rsidR="001B26A1" w:rsidRDefault="00000000" w14:paraId="7276294B" w14:textId="77777777">
            <w:pPr>
              <w:rPr>
                <w:rFonts w:hint="eastAsia"/>
              </w:rPr>
            </w:pPr>
            <w:r>
              <w:rPr>
                <w:sz w:val="18"/>
              </w:rPr>
              <w:t>0.866</w:t>
            </w:r>
          </w:p>
        </w:tc>
        <w:tc>
          <w:tcPr>
            <w:tcW w:w="1921" w:type="dxa"/>
            <w:vAlign w:val="center"/>
          </w:tcPr>
          <w:p w:rsidR="001B26A1" w:rsidRDefault="00000000" w14:paraId="3A1B06CD" w14:textId="77777777">
            <w:pPr>
              <w:rPr>
                <w:rFonts w:hint="eastAsia"/>
              </w:rPr>
            </w:pPr>
            <w:r>
              <w:rPr>
                <w:sz w:val="18"/>
              </w:rPr>
              <w:t>1.012</w:t>
            </w:r>
          </w:p>
        </w:tc>
      </w:tr>
      <w:tr w:rsidR="001B26A1" w14:paraId="73FF8D6A" w14:textId="77777777">
        <w:trPr>
          <w:jc w:val="center"/>
        </w:trPr>
        <w:tc>
          <w:tcPr>
            <w:tcW w:w="1921" w:type="dxa"/>
            <w:vAlign w:val="center"/>
          </w:tcPr>
          <w:p w:rsidR="001B26A1" w:rsidRDefault="00000000" w14:paraId="7CDFDE82" w14:textId="77777777">
            <w:pPr>
              <w:rPr>
                <w:rFonts w:hint="eastAsia"/>
              </w:rPr>
            </w:pPr>
            <w:r>
              <w:rPr>
                <w:sz w:val="18"/>
              </w:rPr>
              <w:t>Ohio</w:t>
            </w:r>
          </w:p>
        </w:tc>
        <w:tc>
          <w:tcPr>
            <w:tcW w:w="1921" w:type="dxa"/>
            <w:vAlign w:val="center"/>
          </w:tcPr>
          <w:p w:rsidR="001B26A1" w:rsidRDefault="00000000" w14:paraId="33682507" w14:textId="77777777">
            <w:pPr>
              <w:rPr>
                <w:rFonts w:hint="eastAsia"/>
              </w:rPr>
            </w:pPr>
            <w:r>
              <w:rPr>
                <w:sz w:val="18"/>
              </w:rPr>
              <w:t>86</w:t>
            </w:r>
          </w:p>
        </w:tc>
        <w:tc>
          <w:tcPr>
            <w:tcW w:w="1921" w:type="dxa"/>
            <w:vAlign w:val="center"/>
          </w:tcPr>
          <w:p w:rsidR="001B26A1" w:rsidRDefault="00000000" w14:paraId="3D614480" w14:textId="77777777">
            <w:pPr>
              <w:rPr>
                <w:rFonts w:hint="eastAsia"/>
              </w:rPr>
            </w:pPr>
            <w:r>
              <w:rPr>
                <w:sz w:val="18"/>
              </w:rPr>
              <w:t>87</w:t>
            </w:r>
          </w:p>
        </w:tc>
        <w:tc>
          <w:tcPr>
            <w:tcW w:w="1921" w:type="dxa"/>
            <w:vAlign w:val="center"/>
          </w:tcPr>
          <w:p w:rsidR="001B26A1" w:rsidRDefault="00000000" w14:paraId="578DBCDD" w14:textId="77777777">
            <w:pPr>
              <w:rPr>
                <w:rFonts w:hint="eastAsia"/>
              </w:rPr>
            </w:pPr>
            <w:r>
              <w:rPr>
                <w:sz w:val="18"/>
              </w:rPr>
              <w:t>0.870</w:t>
            </w:r>
          </w:p>
        </w:tc>
        <w:tc>
          <w:tcPr>
            <w:tcW w:w="1921" w:type="dxa"/>
            <w:vAlign w:val="center"/>
          </w:tcPr>
          <w:p w:rsidR="001B26A1" w:rsidRDefault="00000000" w14:paraId="7393465F" w14:textId="77777777">
            <w:pPr>
              <w:rPr>
                <w:rFonts w:hint="eastAsia"/>
              </w:rPr>
            </w:pPr>
            <w:r>
              <w:rPr>
                <w:sz w:val="18"/>
              </w:rPr>
              <w:t>1.016</w:t>
            </w:r>
          </w:p>
        </w:tc>
      </w:tr>
      <w:tr w:rsidR="001B26A1" w14:paraId="4981BF18" w14:textId="77777777">
        <w:trPr>
          <w:jc w:val="center"/>
        </w:trPr>
        <w:tc>
          <w:tcPr>
            <w:tcW w:w="1921" w:type="dxa"/>
            <w:vAlign w:val="center"/>
          </w:tcPr>
          <w:p w:rsidR="001B26A1" w:rsidRDefault="00000000" w14:paraId="2DE112B8" w14:textId="77777777">
            <w:pPr>
              <w:rPr>
                <w:rFonts w:hint="eastAsia"/>
              </w:rPr>
            </w:pPr>
            <w:r>
              <w:rPr>
                <w:sz w:val="18"/>
              </w:rPr>
              <w:t>Minnesota</w:t>
            </w:r>
          </w:p>
        </w:tc>
        <w:tc>
          <w:tcPr>
            <w:tcW w:w="1921" w:type="dxa"/>
            <w:vAlign w:val="center"/>
          </w:tcPr>
          <w:p w:rsidR="001B26A1" w:rsidRDefault="00000000" w14:paraId="2E97F662" w14:textId="77777777">
            <w:pPr>
              <w:rPr>
                <w:rFonts w:hint="eastAsia"/>
              </w:rPr>
            </w:pPr>
            <w:r>
              <w:rPr>
                <w:sz w:val="18"/>
              </w:rPr>
              <w:t>59</w:t>
            </w:r>
          </w:p>
        </w:tc>
        <w:tc>
          <w:tcPr>
            <w:tcW w:w="1921" w:type="dxa"/>
            <w:vAlign w:val="center"/>
          </w:tcPr>
          <w:p w:rsidR="001B26A1" w:rsidRDefault="00000000" w14:paraId="16D3E9C4" w14:textId="77777777">
            <w:pPr>
              <w:rPr>
                <w:rFonts w:hint="eastAsia"/>
              </w:rPr>
            </w:pPr>
            <w:r>
              <w:rPr>
                <w:sz w:val="18"/>
              </w:rPr>
              <w:t>60</w:t>
            </w:r>
          </w:p>
        </w:tc>
        <w:tc>
          <w:tcPr>
            <w:tcW w:w="1921" w:type="dxa"/>
            <w:vAlign w:val="center"/>
          </w:tcPr>
          <w:p w:rsidR="001B26A1" w:rsidRDefault="00000000" w14:paraId="5ABBC7B6" w14:textId="77777777">
            <w:pPr>
              <w:rPr>
                <w:rFonts w:hint="eastAsia"/>
              </w:rPr>
            </w:pPr>
            <w:r>
              <w:rPr>
                <w:sz w:val="18"/>
              </w:rPr>
              <w:t>0.886</w:t>
            </w:r>
          </w:p>
        </w:tc>
        <w:tc>
          <w:tcPr>
            <w:tcW w:w="1921" w:type="dxa"/>
            <w:vAlign w:val="center"/>
          </w:tcPr>
          <w:p w:rsidR="001B26A1" w:rsidRDefault="00000000" w14:paraId="70E98434" w14:textId="77777777">
            <w:pPr>
              <w:rPr>
                <w:rFonts w:hint="eastAsia"/>
              </w:rPr>
            </w:pPr>
            <w:r>
              <w:rPr>
                <w:sz w:val="18"/>
              </w:rPr>
              <w:t>1.021</w:t>
            </w:r>
          </w:p>
        </w:tc>
      </w:tr>
      <w:tr w:rsidR="001B26A1" w14:paraId="74A0747E" w14:textId="77777777">
        <w:trPr>
          <w:jc w:val="center"/>
        </w:trPr>
        <w:tc>
          <w:tcPr>
            <w:tcW w:w="1921" w:type="dxa"/>
            <w:vAlign w:val="center"/>
          </w:tcPr>
          <w:p w:rsidR="001B26A1" w:rsidRDefault="00000000" w14:paraId="118CCD78" w14:textId="77777777">
            <w:pPr>
              <w:rPr>
                <w:rFonts w:hint="eastAsia"/>
              </w:rPr>
            </w:pPr>
            <w:r>
              <w:rPr>
                <w:sz w:val="18"/>
              </w:rPr>
              <w:t>New Jersey</w:t>
            </w:r>
          </w:p>
        </w:tc>
        <w:tc>
          <w:tcPr>
            <w:tcW w:w="1921" w:type="dxa"/>
            <w:vAlign w:val="center"/>
          </w:tcPr>
          <w:p w:rsidR="001B26A1" w:rsidRDefault="00000000" w14:paraId="61B32E96" w14:textId="77777777">
            <w:pPr>
              <w:rPr>
                <w:rFonts w:hint="eastAsia"/>
              </w:rPr>
            </w:pPr>
            <w:r>
              <w:rPr>
                <w:sz w:val="18"/>
              </w:rPr>
              <w:t>50</w:t>
            </w:r>
          </w:p>
        </w:tc>
        <w:tc>
          <w:tcPr>
            <w:tcW w:w="1921" w:type="dxa"/>
            <w:vAlign w:val="center"/>
          </w:tcPr>
          <w:p w:rsidR="001B26A1" w:rsidRDefault="00000000" w14:paraId="320F20F6" w14:textId="77777777">
            <w:pPr>
              <w:rPr>
                <w:rFonts w:hint="eastAsia"/>
              </w:rPr>
            </w:pPr>
            <w:r>
              <w:rPr>
                <w:sz w:val="18"/>
              </w:rPr>
              <w:t>50</w:t>
            </w:r>
          </w:p>
        </w:tc>
        <w:tc>
          <w:tcPr>
            <w:tcW w:w="1921" w:type="dxa"/>
            <w:vAlign w:val="center"/>
          </w:tcPr>
          <w:p w:rsidR="001B26A1" w:rsidRDefault="00000000" w14:paraId="0970497F" w14:textId="77777777">
            <w:pPr>
              <w:rPr>
                <w:rFonts w:hint="eastAsia"/>
              </w:rPr>
            </w:pPr>
            <w:r>
              <w:rPr>
                <w:sz w:val="18"/>
              </w:rPr>
              <w:t>0.879</w:t>
            </w:r>
          </w:p>
        </w:tc>
        <w:tc>
          <w:tcPr>
            <w:tcW w:w="1921" w:type="dxa"/>
            <w:vAlign w:val="center"/>
          </w:tcPr>
          <w:p w:rsidR="001B26A1" w:rsidRDefault="00000000" w14:paraId="33C05598" w14:textId="77777777">
            <w:pPr>
              <w:rPr>
                <w:rFonts w:hint="eastAsia"/>
              </w:rPr>
            </w:pPr>
            <w:r>
              <w:rPr>
                <w:sz w:val="18"/>
              </w:rPr>
              <w:t>1.081</w:t>
            </w:r>
          </w:p>
        </w:tc>
      </w:tr>
      <w:tr w:rsidR="001B26A1" w14:paraId="7FEBE71E" w14:textId="77777777">
        <w:trPr>
          <w:jc w:val="center"/>
        </w:trPr>
        <w:tc>
          <w:tcPr>
            <w:tcW w:w="1921" w:type="dxa"/>
            <w:vAlign w:val="center"/>
          </w:tcPr>
          <w:p w:rsidR="001B26A1" w:rsidRDefault="00000000" w14:paraId="4AA20287" w14:textId="77777777">
            <w:pPr>
              <w:rPr>
                <w:rFonts w:hint="eastAsia"/>
              </w:rPr>
            </w:pPr>
            <w:r>
              <w:rPr>
                <w:sz w:val="18"/>
              </w:rPr>
              <w:t>Michigan</w:t>
            </w:r>
          </w:p>
        </w:tc>
        <w:tc>
          <w:tcPr>
            <w:tcW w:w="1921" w:type="dxa"/>
            <w:vAlign w:val="center"/>
          </w:tcPr>
          <w:p w:rsidR="001B26A1" w:rsidRDefault="00000000" w14:paraId="4447DF84" w14:textId="77777777">
            <w:pPr>
              <w:rPr>
                <w:rFonts w:hint="eastAsia"/>
              </w:rPr>
            </w:pPr>
            <w:r>
              <w:rPr>
                <w:sz w:val="18"/>
              </w:rPr>
              <w:t>46</w:t>
            </w:r>
          </w:p>
        </w:tc>
        <w:tc>
          <w:tcPr>
            <w:tcW w:w="1921" w:type="dxa"/>
            <w:vAlign w:val="center"/>
          </w:tcPr>
          <w:p w:rsidR="001B26A1" w:rsidRDefault="00000000" w14:paraId="1456A911" w14:textId="77777777">
            <w:pPr>
              <w:rPr>
                <w:rFonts w:hint="eastAsia"/>
              </w:rPr>
            </w:pPr>
            <w:r>
              <w:rPr>
                <w:sz w:val="18"/>
              </w:rPr>
              <w:t>47</w:t>
            </w:r>
          </w:p>
        </w:tc>
        <w:tc>
          <w:tcPr>
            <w:tcW w:w="1921" w:type="dxa"/>
            <w:vAlign w:val="center"/>
          </w:tcPr>
          <w:p w:rsidR="001B26A1" w:rsidRDefault="00000000" w14:paraId="5BA0AA0C" w14:textId="77777777">
            <w:pPr>
              <w:rPr>
                <w:rFonts w:hint="eastAsia"/>
              </w:rPr>
            </w:pPr>
            <w:r>
              <w:rPr>
                <w:sz w:val="18"/>
              </w:rPr>
              <w:t>0.904</w:t>
            </w:r>
          </w:p>
        </w:tc>
        <w:tc>
          <w:tcPr>
            <w:tcW w:w="1921" w:type="dxa"/>
            <w:vAlign w:val="center"/>
          </w:tcPr>
          <w:p w:rsidR="001B26A1" w:rsidRDefault="00000000" w14:paraId="3DA86307" w14:textId="77777777">
            <w:pPr>
              <w:rPr>
                <w:rFonts w:hint="eastAsia"/>
              </w:rPr>
            </w:pPr>
            <w:r>
              <w:rPr>
                <w:sz w:val="18"/>
              </w:rPr>
              <w:t>1.041</w:t>
            </w:r>
          </w:p>
        </w:tc>
      </w:tr>
      <w:tr w:rsidR="001B26A1" w14:paraId="6A2EDAE5" w14:textId="77777777">
        <w:trPr>
          <w:jc w:val="center"/>
        </w:trPr>
        <w:tc>
          <w:tcPr>
            <w:tcW w:w="1921" w:type="dxa"/>
            <w:vAlign w:val="center"/>
          </w:tcPr>
          <w:p w:rsidR="001B26A1" w:rsidRDefault="00000000" w14:paraId="180E7977" w14:textId="77777777">
            <w:pPr>
              <w:rPr>
                <w:rFonts w:hint="eastAsia"/>
              </w:rPr>
            </w:pPr>
            <w:r>
              <w:rPr>
                <w:sz w:val="18"/>
              </w:rPr>
              <w:t>Wisconsin</w:t>
            </w:r>
          </w:p>
        </w:tc>
        <w:tc>
          <w:tcPr>
            <w:tcW w:w="1921" w:type="dxa"/>
            <w:vAlign w:val="center"/>
          </w:tcPr>
          <w:p w:rsidR="001B26A1" w:rsidRDefault="00000000" w14:paraId="7E567E9A" w14:textId="77777777">
            <w:pPr>
              <w:rPr>
                <w:rFonts w:hint="eastAsia"/>
              </w:rPr>
            </w:pPr>
            <w:r>
              <w:rPr>
                <w:sz w:val="18"/>
              </w:rPr>
              <w:t>45</w:t>
            </w:r>
          </w:p>
        </w:tc>
        <w:tc>
          <w:tcPr>
            <w:tcW w:w="1921" w:type="dxa"/>
            <w:vAlign w:val="center"/>
          </w:tcPr>
          <w:p w:rsidR="001B26A1" w:rsidRDefault="00000000" w14:paraId="5743D8DF" w14:textId="77777777">
            <w:pPr>
              <w:rPr>
                <w:rFonts w:hint="eastAsia"/>
              </w:rPr>
            </w:pPr>
            <w:r>
              <w:rPr>
                <w:sz w:val="18"/>
              </w:rPr>
              <w:t>45</w:t>
            </w:r>
          </w:p>
        </w:tc>
        <w:tc>
          <w:tcPr>
            <w:tcW w:w="1921" w:type="dxa"/>
            <w:vAlign w:val="center"/>
          </w:tcPr>
          <w:p w:rsidR="001B26A1" w:rsidRDefault="00000000" w14:paraId="60E3D7AC" w14:textId="77777777">
            <w:pPr>
              <w:rPr>
                <w:rFonts w:hint="eastAsia"/>
              </w:rPr>
            </w:pPr>
            <w:r>
              <w:rPr>
                <w:sz w:val="18"/>
              </w:rPr>
              <w:t>0.862</w:t>
            </w:r>
          </w:p>
        </w:tc>
        <w:tc>
          <w:tcPr>
            <w:tcW w:w="1921" w:type="dxa"/>
            <w:vAlign w:val="center"/>
          </w:tcPr>
          <w:p w:rsidR="001B26A1" w:rsidRDefault="00000000" w14:paraId="1FD5DA92" w14:textId="77777777">
            <w:pPr>
              <w:rPr>
                <w:rFonts w:hint="eastAsia"/>
              </w:rPr>
            </w:pPr>
            <w:r>
              <w:rPr>
                <w:sz w:val="18"/>
              </w:rPr>
              <w:t>1.002</w:t>
            </w:r>
          </w:p>
        </w:tc>
      </w:tr>
      <w:tr w:rsidR="001B26A1" w14:paraId="244FD527" w14:textId="77777777">
        <w:trPr>
          <w:jc w:val="center"/>
        </w:trPr>
        <w:tc>
          <w:tcPr>
            <w:tcW w:w="1921" w:type="dxa"/>
            <w:vAlign w:val="center"/>
          </w:tcPr>
          <w:p w:rsidR="001B26A1" w:rsidRDefault="00000000" w14:paraId="22906473" w14:textId="77777777">
            <w:pPr>
              <w:rPr>
                <w:rFonts w:hint="eastAsia"/>
              </w:rPr>
            </w:pPr>
            <w:r>
              <w:rPr>
                <w:sz w:val="18"/>
              </w:rPr>
              <w:t>Utah</w:t>
            </w:r>
          </w:p>
        </w:tc>
        <w:tc>
          <w:tcPr>
            <w:tcW w:w="1921" w:type="dxa"/>
            <w:vAlign w:val="center"/>
          </w:tcPr>
          <w:p w:rsidR="001B26A1" w:rsidRDefault="00000000" w14:paraId="186A60C7" w14:textId="77777777">
            <w:pPr>
              <w:rPr>
                <w:rFonts w:hint="eastAsia"/>
              </w:rPr>
            </w:pPr>
            <w:r>
              <w:rPr>
                <w:sz w:val="18"/>
              </w:rPr>
              <w:t>41</w:t>
            </w:r>
          </w:p>
        </w:tc>
        <w:tc>
          <w:tcPr>
            <w:tcW w:w="1921" w:type="dxa"/>
            <w:vAlign w:val="center"/>
          </w:tcPr>
          <w:p w:rsidR="001B26A1" w:rsidRDefault="00000000" w14:paraId="440F7355" w14:textId="77777777">
            <w:pPr>
              <w:rPr>
                <w:rFonts w:hint="eastAsia"/>
              </w:rPr>
            </w:pPr>
            <w:r>
              <w:rPr>
                <w:sz w:val="18"/>
              </w:rPr>
              <w:t>43</w:t>
            </w:r>
          </w:p>
        </w:tc>
        <w:tc>
          <w:tcPr>
            <w:tcW w:w="1921" w:type="dxa"/>
            <w:vAlign w:val="center"/>
          </w:tcPr>
          <w:p w:rsidR="001B26A1" w:rsidRDefault="00000000" w14:paraId="1FC850D5" w14:textId="77777777">
            <w:pPr>
              <w:rPr>
                <w:rFonts w:hint="eastAsia"/>
              </w:rPr>
            </w:pPr>
            <w:r>
              <w:rPr>
                <w:sz w:val="18"/>
              </w:rPr>
              <w:t>0.898</w:t>
            </w:r>
          </w:p>
        </w:tc>
        <w:tc>
          <w:tcPr>
            <w:tcW w:w="1921" w:type="dxa"/>
            <w:vAlign w:val="center"/>
          </w:tcPr>
          <w:p w:rsidR="001B26A1" w:rsidRDefault="00000000" w14:paraId="62D1C3C2" w14:textId="77777777">
            <w:pPr>
              <w:rPr>
                <w:rFonts w:hint="eastAsia"/>
              </w:rPr>
            </w:pPr>
            <w:r>
              <w:rPr>
                <w:sz w:val="18"/>
              </w:rPr>
              <w:t>1.046</w:t>
            </w:r>
          </w:p>
        </w:tc>
      </w:tr>
    </w:tbl>
    <w:p w:rsidR="001B26A1" w:rsidRDefault="001B26A1" w14:paraId="25B0ED52" w14:textId="77777777">
      <w:pPr>
        <w:rPr>
          <w:rFonts w:hint="eastAsia"/>
        </w:rPr>
      </w:pPr>
    </w:p>
    <w:p w:rsidR="001B26A1" w:rsidRDefault="00000000" w14:paraId="0F8D2674" w14:textId="77777777">
      <w:pPr>
        <w:jc w:val="center"/>
        <w:rPr>
          <w:rFonts w:hint="eastAsia"/>
        </w:rPr>
      </w:pPr>
      <w:r>
        <w:rPr>
          <w:noProof/>
        </w:rPr>
        <w:drawing>
          <wp:inline distT="0" distB="0" distL="0" distR="0" wp14:anchorId="17A458DE" wp14:editId="16F1FDEA">
            <wp:extent cx="6217920" cy="45564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cfb363-7c94-44dd-97a7-79274385554d.png"/>
                    <pic:cNvPicPr/>
                  </pic:nvPicPr>
                  <pic:blipFill>
                    <a:blip r:embed="rId8"/>
                    <a:stretch>
                      <a:fillRect/>
                    </a:stretch>
                  </pic:blipFill>
                  <pic:spPr>
                    <a:xfrm>
                      <a:off x="0" y="0"/>
                      <a:ext cx="6217920" cy="4556451"/>
                    </a:xfrm>
                    <a:prstGeom prst="rect">
                      <a:avLst/>
                    </a:prstGeom>
                  </pic:spPr>
                </pic:pic>
              </a:graphicData>
            </a:graphic>
          </wp:inline>
        </w:drawing>
      </w:r>
    </w:p>
    <w:p w:rsidR="001B26A1" w:rsidRDefault="00000000" w14:paraId="3508E471" w14:textId="77777777">
      <w:pPr>
        <w:jc w:val="center"/>
        <w:rPr>
          <w:rFonts w:hint="eastAsia"/>
        </w:rPr>
      </w:pPr>
      <w:r>
        <w:rPr>
          <w:i/>
          <w:sz w:val="18"/>
        </w:rPr>
        <w:t>Figure 3. State-level map of long-run recommended new Toyota dealerships. Labels show state abbreviations and recommended additions.</w:t>
      </w:r>
    </w:p>
    <w:p w:rsidR="001B26A1" w:rsidP="00BE740B" w:rsidRDefault="00000000" w14:paraId="313094A6" w14:textId="77777777">
      <w:pPr>
        <w:spacing w:after="120"/>
        <w:rPr>
          <w:rFonts w:hint="eastAsia"/>
        </w:rPr>
      </w:pPr>
      <w:r>
        <w:rPr>
          <w:sz w:val="22"/>
        </w:rPr>
        <w:t xml:space="preserve">The map broadly agreed with the original clustering logic, but it was not a simple restatement of the cluster ranking. </w:t>
      </w:r>
      <w:r>
        <w:rPr>
          <w:sz w:val="22"/>
        </w:rPr>
        <w:br/>
      </w:r>
      <w:r>
        <w:rPr>
          <w:sz w:val="22"/>
        </w:rPr>
        <w:t xml:space="preserve">California remained dominant, which is fully consistent with the clustering study and the policy interpretation of mature EV markets. </w:t>
      </w:r>
      <w:r>
        <w:rPr>
          <w:sz w:val="22"/>
        </w:rPr>
        <w:br/>
      </w:r>
      <w:r>
        <w:rPr>
          <w:sz w:val="22"/>
        </w:rPr>
        <w:t xml:space="preserve">However, large states such as Texas and Florida also ranked highly because the final two-stage model combines state-level strategic readiness with city-level capacity. </w:t>
      </w:r>
      <w:r>
        <w:rPr>
          <w:sz w:val="22"/>
        </w:rPr>
        <w:br/>
      </w:r>
      <w:r>
        <w:rPr>
          <w:sz w:val="22"/>
        </w:rPr>
        <w:t>This means that the final state map should be interpreted as a spatial distribution of executable expansion capacity, not merely as a restatement of the original cluster order.</w:t>
      </w:r>
    </w:p>
    <w:p w:rsidR="001B26A1" w:rsidRDefault="00000000" w14:paraId="2FC376BA" w14:textId="77777777">
      <w:pPr>
        <w:spacing w:after="160"/>
        <w:rPr>
          <w:rFonts w:hint="eastAsia"/>
        </w:rPr>
      </w:pPr>
      <w:r>
        <w:rPr>
          <w:b/>
          <w:color w:val="1F4E79"/>
          <w:sz w:val="32"/>
        </w:rPr>
        <w:t>6. Short-Term and Long-Term Profit Scenarios</w:t>
      </w:r>
    </w:p>
    <w:p w:rsidR="001B26A1" w:rsidP="00BE740B" w:rsidRDefault="00000000" w14:paraId="78AE8FEA" w14:textId="77777777">
      <w:pPr>
        <w:spacing w:after="120"/>
        <w:rPr>
          <w:rFonts w:hint="eastAsia"/>
        </w:rPr>
      </w:pPr>
      <w:r>
        <w:rPr>
          <w:sz w:val="22"/>
        </w:rPr>
        <w:t xml:space="preserve">The recommendation table does not include time. </w:t>
      </w:r>
      <w:r>
        <w:rPr>
          <w:sz w:val="22"/>
        </w:rPr>
        <w:br/>
      </w:r>
      <w:r>
        <w:rPr>
          <w:sz w:val="22"/>
        </w:rPr>
        <w:t xml:space="preserve">Therefore, the 1,577 recommended new dealerships are best interpreted as a long-run target pool rather than a one-year opening plan. </w:t>
      </w:r>
      <w:r>
        <w:rPr>
          <w:sz w:val="22"/>
        </w:rPr>
        <w:br/>
      </w:r>
      <w:r>
        <w:rPr>
          <w:sz w:val="22"/>
        </w:rPr>
        <w:t xml:space="preserve">This distinction proved crucial. A short-run scenario that tried to push too many dealerships into one year produced losses because rollout costs dominated the first-year contribution. </w:t>
      </w:r>
      <w:r>
        <w:rPr>
          <w:sz w:val="22"/>
        </w:rPr>
        <w:br/>
      </w:r>
      <w:r>
        <w:rPr>
          <w:sz w:val="22"/>
        </w:rPr>
        <w:t>A more realistic framing was to treat the model output as a long-run target and then phase it gradually into annual rollout cohorts.</w:t>
      </w:r>
    </w:p>
    <w:p w:rsidR="001B26A1" w:rsidRDefault="00000000" w14:paraId="5BD3F5BF" w14:textId="77777777">
      <w:pPr>
        <w:spacing w:after="120"/>
        <w:rPr>
          <w:rFonts w:hint="eastAsia"/>
        </w:rPr>
      </w:pPr>
      <w:r>
        <w:rPr>
          <w:b/>
          <w:color w:val="1F4E79"/>
          <w:sz w:val="25"/>
        </w:rPr>
        <w:t>6.1 Next-year rollout cap scenario</w:t>
      </w:r>
    </w:p>
    <w:p w:rsidR="001B26A1" w:rsidRDefault="00000000" w14:paraId="6D87963F" w14:textId="77777777">
      <w:pPr>
        <w:spacing w:after="120"/>
        <w:jc w:val="both"/>
        <w:rPr>
          <w:rFonts w:hint="eastAsia"/>
        </w:rPr>
      </w:pPr>
      <w:r>
        <w:rPr>
          <w:sz w:val="22"/>
        </w:rPr>
        <w:t xml:space="preserve">Before building the long-run path, a capped one-year rollout was analysed as a feasibility check. </w:t>
      </w:r>
      <w:r>
        <w:rPr>
          <w:sz w:val="22"/>
        </w:rPr>
        <w:br/>
      </w:r>
      <w:r>
        <w:rPr>
          <w:sz w:val="22"/>
        </w:rPr>
        <w:t>Instead of forcing all 1,577 recommendations into one year, annual rollout was capped at 100, 150, and 200 dealerships across the conservative, base, and optimistic cases respectively.</w:t>
      </w:r>
    </w:p>
    <w:tbl>
      <w:tblPr>
        <w:tblStyle w:val="aff1"/>
        <w:tblW w:w="0" w:type="auto"/>
        <w:jc w:val="center"/>
        <w:tblLook w:val="04A0" w:firstRow="1" w:lastRow="0" w:firstColumn="1" w:lastColumn="0" w:noHBand="0" w:noVBand="1"/>
      </w:tblPr>
      <w:tblGrid>
        <w:gridCol w:w="1601"/>
        <w:gridCol w:w="1601"/>
        <w:gridCol w:w="1601"/>
        <w:gridCol w:w="1601"/>
        <w:gridCol w:w="1601"/>
        <w:gridCol w:w="1601"/>
      </w:tblGrid>
      <w:tr w:rsidR="001B26A1" w14:paraId="34ABBB68" w14:textId="77777777">
        <w:trPr>
          <w:tblHeader/>
          <w:jc w:val="center"/>
        </w:trPr>
        <w:tc>
          <w:tcPr>
            <w:tcW w:w="1601" w:type="dxa"/>
            <w:shd w:val="clear" w:color="auto" w:fill="D9E2F3"/>
            <w:vAlign w:val="center"/>
          </w:tcPr>
          <w:p w:rsidR="001B26A1" w:rsidRDefault="00000000" w14:paraId="059BE461" w14:textId="77777777">
            <w:pPr>
              <w:jc w:val="center"/>
              <w:rPr>
                <w:rFonts w:hint="eastAsia"/>
              </w:rPr>
            </w:pPr>
            <w:r>
              <w:rPr>
                <w:b/>
                <w:sz w:val="18"/>
              </w:rPr>
              <w:t>Scenario</w:t>
            </w:r>
          </w:p>
        </w:tc>
        <w:tc>
          <w:tcPr>
            <w:tcW w:w="1601" w:type="dxa"/>
            <w:shd w:val="clear" w:color="auto" w:fill="D9E2F3"/>
            <w:vAlign w:val="center"/>
          </w:tcPr>
          <w:p w:rsidR="001B26A1" w:rsidRDefault="00000000" w14:paraId="48950985" w14:textId="77777777">
            <w:pPr>
              <w:jc w:val="center"/>
              <w:rPr>
                <w:rFonts w:hint="eastAsia"/>
              </w:rPr>
            </w:pPr>
            <w:r>
              <w:rPr>
                <w:b/>
                <w:sz w:val="18"/>
              </w:rPr>
              <w:t>Planned rollout</w:t>
            </w:r>
          </w:p>
        </w:tc>
        <w:tc>
          <w:tcPr>
            <w:tcW w:w="1601" w:type="dxa"/>
            <w:shd w:val="clear" w:color="auto" w:fill="D9E2F3"/>
            <w:vAlign w:val="center"/>
          </w:tcPr>
          <w:p w:rsidR="001B26A1" w:rsidRDefault="00000000" w14:paraId="189B1A92" w14:textId="77777777">
            <w:pPr>
              <w:jc w:val="center"/>
              <w:rPr>
                <w:rFonts w:hint="eastAsia"/>
              </w:rPr>
            </w:pPr>
            <w:r>
              <w:rPr>
                <w:b/>
                <w:sz w:val="18"/>
              </w:rPr>
              <w:t>Realised new dealers</w:t>
            </w:r>
          </w:p>
        </w:tc>
        <w:tc>
          <w:tcPr>
            <w:tcW w:w="1601" w:type="dxa"/>
            <w:shd w:val="clear" w:color="auto" w:fill="D9E2F3"/>
            <w:vAlign w:val="center"/>
          </w:tcPr>
          <w:p w:rsidR="001B26A1" w:rsidRDefault="00000000" w14:paraId="1157120F" w14:textId="77777777">
            <w:pPr>
              <w:jc w:val="center"/>
              <w:rPr>
                <w:rFonts w:hint="eastAsia"/>
              </w:rPr>
            </w:pPr>
            <w:r>
              <w:rPr>
                <w:b/>
                <w:sz w:val="18"/>
              </w:rPr>
              <w:t>Incremental units</w:t>
            </w:r>
          </w:p>
        </w:tc>
        <w:tc>
          <w:tcPr>
            <w:tcW w:w="1601" w:type="dxa"/>
            <w:shd w:val="clear" w:color="auto" w:fill="D9E2F3"/>
            <w:vAlign w:val="center"/>
          </w:tcPr>
          <w:p w:rsidR="001B26A1" w:rsidRDefault="00000000" w14:paraId="545C73B5" w14:textId="77777777">
            <w:pPr>
              <w:jc w:val="center"/>
              <w:rPr>
                <w:rFonts w:hint="eastAsia"/>
              </w:rPr>
            </w:pPr>
            <w:r>
              <w:rPr>
                <w:b/>
                <w:sz w:val="18"/>
              </w:rPr>
              <w:t>% of TMNA YTD sales</w:t>
            </w:r>
          </w:p>
        </w:tc>
        <w:tc>
          <w:tcPr>
            <w:tcW w:w="1601" w:type="dxa"/>
            <w:shd w:val="clear" w:color="auto" w:fill="D9E2F3"/>
            <w:vAlign w:val="center"/>
          </w:tcPr>
          <w:p w:rsidR="001B26A1" w:rsidRDefault="00000000" w14:paraId="79CFD1AC" w14:textId="77777777">
            <w:pPr>
              <w:jc w:val="center"/>
              <w:rPr>
                <w:rFonts w:hint="eastAsia"/>
              </w:rPr>
            </w:pPr>
            <w:r>
              <w:rPr>
                <w:b/>
                <w:sz w:val="18"/>
              </w:rPr>
              <w:t>Net incremental op. profit</w:t>
            </w:r>
          </w:p>
        </w:tc>
      </w:tr>
      <w:tr w:rsidR="001B26A1" w14:paraId="63C7CDEC" w14:textId="77777777">
        <w:trPr>
          <w:jc w:val="center"/>
        </w:trPr>
        <w:tc>
          <w:tcPr>
            <w:tcW w:w="1601" w:type="dxa"/>
            <w:vAlign w:val="center"/>
          </w:tcPr>
          <w:p w:rsidR="001B26A1" w:rsidRDefault="00000000" w14:paraId="3B414B4A" w14:textId="77777777">
            <w:pPr>
              <w:rPr>
                <w:rFonts w:hint="eastAsia"/>
              </w:rPr>
            </w:pPr>
            <w:r>
              <w:rPr>
                <w:sz w:val="18"/>
              </w:rPr>
              <w:t>Conservative</w:t>
            </w:r>
          </w:p>
        </w:tc>
        <w:tc>
          <w:tcPr>
            <w:tcW w:w="1601" w:type="dxa"/>
            <w:vAlign w:val="center"/>
          </w:tcPr>
          <w:p w:rsidR="001B26A1" w:rsidRDefault="00000000" w14:paraId="52F22CCC" w14:textId="77777777">
            <w:pPr>
              <w:rPr>
                <w:rFonts w:hint="eastAsia"/>
              </w:rPr>
            </w:pPr>
            <w:r>
              <w:rPr>
                <w:sz w:val="18"/>
              </w:rPr>
              <w:t>100</w:t>
            </w:r>
          </w:p>
        </w:tc>
        <w:tc>
          <w:tcPr>
            <w:tcW w:w="1601" w:type="dxa"/>
            <w:vAlign w:val="center"/>
          </w:tcPr>
          <w:p w:rsidR="001B26A1" w:rsidRDefault="00000000" w14:paraId="2FAD82ED" w14:textId="77777777">
            <w:pPr>
              <w:rPr>
                <w:rFonts w:hint="eastAsia"/>
              </w:rPr>
            </w:pPr>
            <w:r>
              <w:rPr>
                <w:sz w:val="18"/>
              </w:rPr>
              <w:t>80.0</w:t>
            </w:r>
          </w:p>
        </w:tc>
        <w:tc>
          <w:tcPr>
            <w:tcW w:w="1601" w:type="dxa"/>
            <w:vAlign w:val="center"/>
          </w:tcPr>
          <w:p w:rsidR="001B26A1" w:rsidRDefault="00000000" w14:paraId="2E847865" w14:textId="77777777">
            <w:pPr>
              <w:rPr>
                <w:rFonts w:hint="eastAsia"/>
              </w:rPr>
            </w:pPr>
            <w:r>
              <w:rPr>
                <w:sz w:val="18"/>
              </w:rPr>
              <w:t>5,040</w:t>
            </w:r>
          </w:p>
        </w:tc>
        <w:tc>
          <w:tcPr>
            <w:tcW w:w="1601" w:type="dxa"/>
            <w:vAlign w:val="center"/>
          </w:tcPr>
          <w:p w:rsidR="001B26A1" w:rsidRDefault="00000000" w14:paraId="2B0B7A4F" w14:textId="77777777">
            <w:pPr>
              <w:rPr>
                <w:rFonts w:hint="eastAsia"/>
              </w:rPr>
            </w:pPr>
            <w:r>
              <w:rPr>
                <w:sz w:val="18"/>
              </w:rPr>
              <w:t>40.75%</w:t>
            </w:r>
          </w:p>
        </w:tc>
        <w:tc>
          <w:tcPr>
            <w:tcW w:w="1601" w:type="dxa"/>
            <w:vAlign w:val="center"/>
          </w:tcPr>
          <w:p w:rsidR="001B26A1" w:rsidRDefault="00000000" w14:paraId="725FE457" w14:textId="77777777">
            <w:pPr>
              <w:rPr>
                <w:rFonts w:hint="eastAsia"/>
              </w:rPr>
            </w:pPr>
            <w:r>
              <w:rPr>
                <w:sz w:val="18"/>
              </w:rPr>
              <w:t>-148.9 m</w:t>
            </w:r>
          </w:p>
        </w:tc>
      </w:tr>
      <w:tr w:rsidR="001B26A1" w14:paraId="0BE5FB2C" w14:textId="77777777">
        <w:trPr>
          <w:jc w:val="center"/>
        </w:trPr>
        <w:tc>
          <w:tcPr>
            <w:tcW w:w="1601" w:type="dxa"/>
            <w:vAlign w:val="center"/>
          </w:tcPr>
          <w:p w:rsidR="001B26A1" w:rsidRDefault="00000000" w14:paraId="0333BB5E" w14:textId="77777777">
            <w:pPr>
              <w:rPr>
                <w:rFonts w:hint="eastAsia"/>
              </w:rPr>
            </w:pPr>
            <w:r>
              <w:rPr>
                <w:sz w:val="18"/>
              </w:rPr>
              <w:t>Base</w:t>
            </w:r>
          </w:p>
        </w:tc>
        <w:tc>
          <w:tcPr>
            <w:tcW w:w="1601" w:type="dxa"/>
            <w:vAlign w:val="center"/>
          </w:tcPr>
          <w:p w:rsidR="001B26A1" w:rsidRDefault="00000000" w14:paraId="72A7B673" w14:textId="77777777">
            <w:pPr>
              <w:rPr>
                <w:rFonts w:hint="eastAsia"/>
              </w:rPr>
            </w:pPr>
            <w:r>
              <w:rPr>
                <w:sz w:val="18"/>
              </w:rPr>
              <w:t>150</w:t>
            </w:r>
          </w:p>
        </w:tc>
        <w:tc>
          <w:tcPr>
            <w:tcW w:w="1601" w:type="dxa"/>
            <w:vAlign w:val="center"/>
          </w:tcPr>
          <w:p w:rsidR="001B26A1" w:rsidRDefault="00000000" w14:paraId="270F478D" w14:textId="77777777">
            <w:pPr>
              <w:rPr>
                <w:rFonts w:hint="eastAsia"/>
              </w:rPr>
            </w:pPr>
            <w:r>
              <w:rPr>
                <w:sz w:val="18"/>
              </w:rPr>
              <w:t>127.5</w:t>
            </w:r>
          </w:p>
        </w:tc>
        <w:tc>
          <w:tcPr>
            <w:tcW w:w="1601" w:type="dxa"/>
            <w:vAlign w:val="center"/>
          </w:tcPr>
          <w:p w:rsidR="001B26A1" w:rsidRDefault="00000000" w14:paraId="1038BAAD" w14:textId="77777777">
            <w:pPr>
              <w:rPr>
                <w:rFonts w:hint="eastAsia"/>
              </w:rPr>
            </w:pPr>
            <w:r>
              <w:rPr>
                <w:sz w:val="18"/>
              </w:rPr>
              <w:t>14,025</w:t>
            </w:r>
          </w:p>
        </w:tc>
        <w:tc>
          <w:tcPr>
            <w:tcW w:w="1601" w:type="dxa"/>
            <w:vAlign w:val="center"/>
          </w:tcPr>
          <w:p w:rsidR="001B26A1" w:rsidRDefault="00000000" w14:paraId="6B5E3924" w14:textId="77777777">
            <w:pPr>
              <w:rPr>
                <w:rFonts w:hint="eastAsia"/>
              </w:rPr>
            </w:pPr>
            <w:r>
              <w:rPr>
                <w:sz w:val="18"/>
              </w:rPr>
              <w:t>113.40%</w:t>
            </w:r>
          </w:p>
        </w:tc>
        <w:tc>
          <w:tcPr>
            <w:tcW w:w="1601" w:type="dxa"/>
            <w:vAlign w:val="center"/>
          </w:tcPr>
          <w:p w:rsidR="001B26A1" w:rsidRDefault="00000000" w14:paraId="18C3000F" w14:textId="77777777">
            <w:pPr>
              <w:rPr>
                <w:rFonts w:hint="eastAsia"/>
              </w:rPr>
            </w:pPr>
            <w:r>
              <w:rPr>
                <w:sz w:val="18"/>
              </w:rPr>
              <w:t>-152.0 m</w:t>
            </w:r>
          </w:p>
        </w:tc>
      </w:tr>
      <w:tr w:rsidR="001B26A1" w14:paraId="6446F547" w14:textId="77777777">
        <w:trPr>
          <w:jc w:val="center"/>
        </w:trPr>
        <w:tc>
          <w:tcPr>
            <w:tcW w:w="1601" w:type="dxa"/>
            <w:vAlign w:val="center"/>
          </w:tcPr>
          <w:p w:rsidR="001B26A1" w:rsidRDefault="00000000" w14:paraId="10E1718C" w14:textId="77777777">
            <w:pPr>
              <w:rPr>
                <w:rFonts w:hint="eastAsia"/>
              </w:rPr>
            </w:pPr>
            <w:r>
              <w:rPr>
                <w:sz w:val="18"/>
              </w:rPr>
              <w:t>Optimistic</w:t>
            </w:r>
          </w:p>
        </w:tc>
        <w:tc>
          <w:tcPr>
            <w:tcW w:w="1601" w:type="dxa"/>
            <w:vAlign w:val="center"/>
          </w:tcPr>
          <w:p w:rsidR="001B26A1" w:rsidRDefault="00000000" w14:paraId="33CDC1EE" w14:textId="77777777">
            <w:pPr>
              <w:rPr>
                <w:rFonts w:hint="eastAsia"/>
              </w:rPr>
            </w:pPr>
            <w:r>
              <w:rPr>
                <w:sz w:val="18"/>
              </w:rPr>
              <w:t>200</w:t>
            </w:r>
          </w:p>
        </w:tc>
        <w:tc>
          <w:tcPr>
            <w:tcW w:w="1601" w:type="dxa"/>
            <w:vAlign w:val="center"/>
          </w:tcPr>
          <w:p w:rsidR="001B26A1" w:rsidRDefault="00000000" w14:paraId="77959888" w14:textId="77777777">
            <w:pPr>
              <w:rPr>
                <w:rFonts w:hint="eastAsia"/>
              </w:rPr>
            </w:pPr>
            <w:r>
              <w:rPr>
                <w:sz w:val="18"/>
              </w:rPr>
              <w:t>180.0</w:t>
            </w:r>
          </w:p>
        </w:tc>
        <w:tc>
          <w:tcPr>
            <w:tcW w:w="1601" w:type="dxa"/>
            <w:vAlign w:val="center"/>
          </w:tcPr>
          <w:p w:rsidR="001B26A1" w:rsidRDefault="00000000" w14:paraId="410987C7" w14:textId="77777777">
            <w:pPr>
              <w:rPr>
                <w:rFonts w:hint="eastAsia"/>
              </w:rPr>
            </w:pPr>
            <w:r>
              <w:rPr>
                <w:sz w:val="18"/>
              </w:rPr>
              <w:t>30,420</w:t>
            </w:r>
          </w:p>
        </w:tc>
        <w:tc>
          <w:tcPr>
            <w:tcW w:w="1601" w:type="dxa"/>
            <w:vAlign w:val="center"/>
          </w:tcPr>
          <w:p w:rsidR="001B26A1" w:rsidRDefault="00000000" w14:paraId="25AAA633" w14:textId="77777777">
            <w:pPr>
              <w:rPr>
                <w:rFonts w:hint="eastAsia"/>
              </w:rPr>
            </w:pPr>
            <w:r>
              <w:rPr>
                <w:sz w:val="18"/>
              </w:rPr>
              <w:t>245.97%</w:t>
            </w:r>
          </w:p>
        </w:tc>
        <w:tc>
          <w:tcPr>
            <w:tcW w:w="1601" w:type="dxa"/>
            <w:vAlign w:val="center"/>
          </w:tcPr>
          <w:p w:rsidR="001B26A1" w:rsidRDefault="00000000" w14:paraId="1EB6C241" w14:textId="77777777">
            <w:pPr>
              <w:rPr>
                <w:rFonts w:hint="eastAsia"/>
              </w:rPr>
            </w:pPr>
            <w:r>
              <w:rPr>
                <w:sz w:val="18"/>
              </w:rPr>
              <w:t>-79.6 m</w:t>
            </w:r>
          </w:p>
        </w:tc>
      </w:tr>
    </w:tbl>
    <w:p w:rsidR="001B26A1" w:rsidRDefault="001B26A1" w14:paraId="113C9171" w14:textId="77777777">
      <w:pPr>
        <w:rPr>
          <w:rFonts w:hint="eastAsia"/>
        </w:rPr>
      </w:pPr>
    </w:p>
    <w:p w:rsidR="001B26A1" w:rsidRDefault="00000000" w14:paraId="5BA45E10" w14:textId="77777777">
      <w:pPr>
        <w:spacing w:after="120"/>
        <w:jc w:val="both"/>
        <w:rPr>
          <w:rFonts w:hint="eastAsia"/>
        </w:rPr>
      </w:pPr>
      <w:r>
        <w:rPr>
          <w:sz w:val="22"/>
        </w:rPr>
        <w:t xml:space="preserve">The one-year feasibility check showed that even a realistic cap still leaves the first-year outcome near or below break-even, because new dealerships face heavy launch costs and partial first-year utilisation. </w:t>
      </w:r>
      <w:r>
        <w:rPr>
          <w:sz w:val="22"/>
        </w:rPr>
        <w:br/>
      </w:r>
      <w:r>
        <w:rPr>
          <w:sz w:val="22"/>
        </w:rPr>
        <w:t>This reinforced the idea that the expansion program should be judged as a multi-year investment rather than a one-year profit project.</w:t>
      </w:r>
    </w:p>
    <w:p w:rsidR="001B26A1" w:rsidRDefault="00000000" w14:paraId="4BB966A0" w14:textId="77777777">
      <w:pPr>
        <w:spacing w:after="120"/>
        <w:rPr>
          <w:rFonts w:hint="eastAsia"/>
        </w:rPr>
      </w:pPr>
      <w:r>
        <w:rPr>
          <w:b/>
          <w:color w:val="1F4E79"/>
          <w:sz w:val="25"/>
        </w:rPr>
        <w:t>6.2 Ten-year phased rollout model</w:t>
      </w:r>
    </w:p>
    <w:p w:rsidR="001B26A1" w:rsidP="00BE740B" w:rsidRDefault="00000000" w14:paraId="22A2E7A9" w14:textId="77777777">
      <w:pPr>
        <w:spacing w:after="120"/>
        <w:rPr>
          <w:rFonts w:hint="eastAsia"/>
        </w:rPr>
      </w:pPr>
      <w:r>
        <w:rPr>
          <w:sz w:val="22"/>
        </w:rPr>
        <w:t xml:space="preserve">The final scenario framework therefore treated the 1,577 recommended dealerships as a long-run network target and phased them into a ten-year rollout. </w:t>
      </w:r>
      <w:r>
        <w:rPr>
          <w:sz w:val="22"/>
        </w:rPr>
        <w:br/>
      </w:r>
      <w:r>
        <w:rPr>
          <w:sz w:val="22"/>
        </w:rPr>
        <w:t xml:space="preserve">Rollout shares were front-light and back-heavy, reflecting the expectation that network build-out should accelerate only after the first cohorts have matured and operating experience has accumulated. </w:t>
      </w:r>
      <w:r>
        <w:rPr>
          <w:sz w:val="22"/>
        </w:rPr>
        <w:br/>
      </w:r>
      <w:r>
        <w:rPr>
          <w:sz w:val="22"/>
        </w:rPr>
        <w:t>Each annual cohort followed a ramp-up profile in which first-year sales were below mature-dealer levels, second-year sales improved further, and from year three onward the cohort was treated as fully mature.</w:t>
      </w:r>
    </w:p>
    <w:p w:rsidR="001B26A1" w:rsidRDefault="00000000" w14:paraId="5E9E0892" w14:textId="77777777">
      <w:pPr>
        <w:spacing w:before="120" w:after="120"/>
        <w:ind w:left="432" w:right="288"/>
        <w:rPr>
          <w:rFonts w:hint="eastAsia"/>
        </w:rPr>
      </w:pPr>
      <w:r>
        <w:rPr>
          <w:rFonts w:ascii="Courier New" w:hAnsi="Courier New"/>
          <w:sz w:val="19"/>
        </w:rPr>
        <w:t>Incremental units_t = Σ_cohorts (opened_dealers_cohort × mature_units_per_dealer × ramp_factor(age))</w:t>
      </w:r>
    </w:p>
    <w:p w:rsidR="001B26A1" w:rsidRDefault="00000000" w14:paraId="6FBBC27F" w14:textId="77777777">
      <w:pPr>
        <w:spacing w:before="120" w:after="120"/>
        <w:ind w:left="432" w:right="288"/>
        <w:rPr>
          <w:rFonts w:hint="eastAsia"/>
        </w:rPr>
      </w:pPr>
      <w:r>
        <w:rPr>
          <w:rFonts w:ascii="Courier New" w:hAnsi="Courier New"/>
          <w:sz w:val="19"/>
        </w:rPr>
        <w:t>Net incremental profit_t = gross incremental profit_t − rollout_cost_t</w:t>
      </w:r>
    </w:p>
    <w:p w:rsidR="001B26A1" w:rsidRDefault="00000000" w14:paraId="11216CD6" w14:textId="77777777">
      <w:pPr>
        <w:spacing w:before="120" w:after="120"/>
        <w:ind w:left="432" w:right="288"/>
        <w:rPr>
          <w:rFonts w:hint="eastAsia"/>
        </w:rPr>
      </w:pPr>
      <w:r>
        <w:rPr>
          <w:rFonts w:ascii="Courier New" w:hAnsi="Courier New"/>
          <w:sz w:val="19"/>
        </w:rPr>
        <w:t>Cumulative profit_t = Σ_{k &lt;= t} net incremental profit_k</w:t>
      </w:r>
    </w:p>
    <w:tbl>
      <w:tblPr>
        <w:tblStyle w:val="aff1"/>
        <w:tblW w:w="0" w:type="auto"/>
        <w:jc w:val="center"/>
        <w:tblLook w:val="04A0" w:firstRow="1" w:lastRow="0" w:firstColumn="1" w:lastColumn="0" w:noHBand="0" w:noVBand="1"/>
      </w:tblPr>
      <w:tblGrid>
        <w:gridCol w:w="1601"/>
        <w:gridCol w:w="1601"/>
        <w:gridCol w:w="1601"/>
        <w:gridCol w:w="1601"/>
        <w:gridCol w:w="1601"/>
        <w:gridCol w:w="1601"/>
      </w:tblGrid>
      <w:tr w:rsidR="001B26A1" w14:paraId="0CD5DA9E" w14:textId="77777777">
        <w:trPr>
          <w:tblHeader/>
          <w:jc w:val="center"/>
        </w:trPr>
        <w:tc>
          <w:tcPr>
            <w:tcW w:w="1601" w:type="dxa"/>
            <w:shd w:val="clear" w:color="auto" w:fill="D9E2F3"/>
            <w:vAlign w:val="center"/>
          </w:tcPr>
          <w:p w:rsidR="001B26A1" w:rsidRDefault="00000000" w14:paraId="4A591A65" w14:textId="77777777">
            <w:pPr>
              <w:jc w:val="center"/>
              <w:rPr>
                <w:rFonts w:hint="eastAsia"/>
              </w:rPr>
            </w:pPr>
            <w:r>
              <w:rPr>
                <w:b/>
                <w:sz w:val="18"/>
              </w:rPr>
              <w:t>Scenario</w:t>
            </w:r>
          </w:p>
        </w:tc>
        <w:tc>
          <w:tcPr>
            <w:tcW w:w="1601" w:type="dxa"/>
            <w:shd w:val="clear" w:color="auto" w:fill="D9E2F3"/>
            <w:vAlign w:val="center"/>
          </w:tcPr>
          <w:p w:rsidR="001B26A1" w:rsidRDefault="00000000" w14:paraId="57566790" w14:textId="77777777">
            <w:pPr>
              <w:jc w:val="center"/>
              <w:rPr>
                <w:rFonts w:hint="eastAsia"/>
              </w:rPr>
            </w:pPr>
            <w:r>
              <w:rPr>
                <w:b/>
                <w:sz w:val="18"/>
              </w:rPr>
              <w:t>Total realised dealers (10y)</w:t>
            </w:r>
          </w:p>
        </w:tc>
        <w:tc>
          <w:tcPr>
            <w:tcW w:w="1601" w:type="dxa"/>
            <w:shd w:val="clear" w:color="auto" w:fill="D9E2F3"/>
            <w:vAlign w:val="center"/>
          </w:tcPr>
          <w:p w:rsidR="001B26A1" w:rsidRDefault="00000000" w14:paraId="28CFD51B" w14:textId="77777777">
            <w:pPr>
              <w:jc w:val="center"/>
              <w:rPr>
                <w:rFonts w:hint="eastAsia"/>
              </w:rPr>
            </w:pPr>
            <w:r>
              <w:rPr>
                <w:b/>
                <w:sz w:val="18"/>
              </w:rPr>
              <w:t>Final-year revenue</w:t>
            </w:r>
          </w:p>
        </w:tc>
        <w:tc>
          <w:tcPr>
            <w:tcW w:w="1601" w:type="dxa"/>
            <w:shd w:val="clear" w:color="auto" w:fill="D9E2F3"/>
            <w:vAlign w:val="center"/>
          </w:tcPr>
          <w:p w:rsidR="001B26A1" w:rsidRDefault="00000000" w14:paraId="482F45D3" w14:textId="77777777">
            <w:pPr>
              <w:jc w:val="center"/>
              <w:rPr>
                <w:rFonts w:hint="eastAsia"/>
              </w:rPr>
            </w:pPr>
            <w:r>
              <w:rPr>
                <w:b/>
                <w:sz w:val="18"/>
              </w:rPr>
              <w:t>Final-year net profit</w:t>
            </w:r>
          </w:p>
        </w:tc>
        <w:tc>
          <w:tcPr>
            <w:tcW w:w="1601" w:type="dxa"/>
            <w:shd w:val="clear" w:color="auto" w:fill="D9E2F3"/>
            <w:vAlign w:val="center"/>
          </w:tcPr>
          <w:p w:rsidR="001B26A1" w:rsidRDefault="00000000" w14:paraId="58968166" w14:textId="77777777">
            <w:pPr>
              <w:jc w:val="center"/>
              <w:rPr>
                <w:rFonts w:hint="eastAsia"/>
              </w:rPr>
            </w:pPr>
            <w:r>
              <w:rPr>
                <w:b/>
                <w:sz w:val="18"/>
              </w:rPr>
              <w:t>Cumulative revenue (10y)</w:t>
            </w:r>
          </w:p>
        </w:tc>
        <w:tc>
          <w:tcPr>
            <w:tcW w:w="1601" w:type="dxa"/>
            <w:shd w:val="clear" w:color="auto" w:fill="D9E2F3"/>
            <w:vAlign w:val="center"/>
          </w:tcPr>
          <w:p w:rsidR="001B26A1" w:rsidRDefault="00000000" w14:paraId="20EF066A" w14:textId="77777777">
            <w:pPr>
              <w:jc w:val="center"/>
              <w:rPr>
                <w:rFonts w:hint="eastAsia"/>
              </w:rPr>
            </w:pPr>
            <w:r>
              <w:rPr>
                <w:b/>
                <w:sz w:val="18"/>
              </w:rPr>
              <w:t>Cumulative net profit (10y)</w:t>
            </w:r>
          </w:p>
        </w:tc>
      </w:tr>
      <w:tr w:rsidR="001B26A1" w14:paraId="36A9E1E7" w14:textId="77777777">
        <w:trPr>
          <w:jc w:val="center"/>
        </w:trPr>
        <w:tc>
          <w:tcPr>
            <w:tcW w:w="1601" w:type="dxa"/>
            <w:vAlign w:val="center"/>
          </w:tcPr>
          <w:p w:rsidR="001B26A1" w:rsidRDefault="00000000" w14:paraId="0330852B" w14:textId="77777777">
            <w:pPr>
              <w:rPr>
                <w:rFonts w:hint="eastAsia"/>
              </w:rPr>
            </w:pPr>
            <w:r>
              <w:rPr>
                <w:sz w:val="18"/>
              </w:rPr>
              <w:t>Conservative</w:t>
            </w:r>
          </w:p>
        </w:tc>
        <w:tc>
          <w:tcPr>
            <w:tcW w:w="1601" w:type="dxa"/>
            <w:vAlign w:val="center"/>
          </w:tcPr>
          <w:p w:rsidR="001B26A1" w:rsidRDefault="00000000" w14:paraId="777164B6" w14:textId="77777777">
            <w:pPr>
              <w:rPr>
                <w:rFonts w:hint="eastAsia"/>
              </w:rPr>
            </w:pPr>
            <w:r>
              <w:rPr>
                <w:sz w:val="18"/>
              </w:rPr>
              <w:t>1341</w:t>
            </w:r>
          </w:p>
        </w:tc>
        <w:tc>
          <w:tcPr>
            <w:tcW w:w="1601" w:type="dxa"/>
            <w:vAlign w:val="center"/>
          </w:tcPr>
          <w:p w:rsidR="001B26A1" w:rsidRDefault="00000000" w14:paraId="54318CC2" w14:textId="77777777">
            <w:pPr>
              <w:rPr>
                <w:rFonts w:hint="eastAsia"/>
              </w:rPr>
            </w:pPr>
            <w:r>
              <w:rPr>
                <w:sz w:val="18"/>
              </w:rPr>
              <w:t>7.90 bn</w:t>
            </w:r>
          </w:p>
        </w:tc>
        <w:tc>
          <w:tcPr>
            <w:tcW w:w="1601" w:type="dxa"/>
            <w:vAlign w:val="center"/>
          </w:tcPr>
          <w:p w:rsidR="001B26A1" w:rsidRDefault="00000000" w14:paraId="0BF1DBCD" w14:textId="77777777">
            <w:pPr>
              <w:rPr>
                <w:rFonts w:hint="eastAsia"/>
              </w:rPr>
            </w:pPr>
            <w:r>
              <w:rPr>
                <w:sz w:val="18"/>
              </w:rPr>
              <w:t>252.5 m</w:t>
            </w:r>
          </w:p>
        </w:tc>
        <w:tc>
          <w:tcPr>
            <w:tcW w:w="1601" w:type="dxa"/>
            <w:vAlign w:val="center"/>
          </w:tcPr>
          <w:p w:rsidR="001B26A1" w:rsidRDefault="00000000" w14:paraId="5889FB79" w14:textId="77777777">
            <w:pPr>
              <w:rPr>
                <w:rFonts w:hint="eastAsia"/>
              </w:rPr>
            </w:pPr>
            <w:r>
              <w:rPr>
                <w:sz w:val="18"/>
              </w:rPr>
              <w:t>34.85 bn</w:t>
            </w:r>
          </w:p>
        </w:tc>
        <w:tc>
          <w:tcPr>
            <w:tcW w:w="1601" w:type="dxa"/>
            <w:vAlign w:val="center"/>
          </w:tcPr>
          <w:p w:rsidR="001B26A1" w:rsidRDefault="00000000" w14:paraId="40812D0B" w14:textId="77777777">
            <w:pPr>
              <w:rPr>
                <w:rFonts w:hint="eastAsia"/>
              </w:rPr>
            </w:pPr>
            <w:r>
              <w:rPr>
                <w:sz w:val="18"/>
              </w:rPr>
              <w:t>91.3 m</w:t>
            </w:r>
          </w:p>
        </w:tc>
      </w:tr>
      <w:tr w:rsidR="001B26A1" w14:paraId="6B31BCA7" w14:textId="77777777">
        <w:trPr>
          <w:jc w:val="center"/>
        </w:trPr>
        <w:tc>
          <w:tcPr>
            <w:tcW w:w="1601" w:type="dxa"/>
            <w:vAlign w:val="center"/>
          </w:tcPr>
          <w:p w:rsidR="001B26A1" w:rsidRDefault="00000000" w14:paraId="2E4C2BC4" w14:textId="77777777">
            <w:pPr>
              <w:rPr>
                <w:rFonts w:hint="eastAsia"/>
              </w:rPr>
            </w:pPr>
            <w:r>
              <w:rPr>
                <w:sz w:val="18"/>
              </w:rPr>
              <w:t>Base</w:t>
            </w:r>
          </w:p>
        </w:tc>
        <w:tc>
          <w:tcPr>
            <w:tcW w:w="1601" w:type="dxa"/>
            <w:vAlign w:val="center"/>
          </w:tcPr>
          <w:p w:rsidR="001B26A1" w:rsidRDefault="00000000" w14:paraId="3B37D7AB" w14:textId="77777777">
            <w:pPr>
              <w:rPr>
                <w:rFonts w:hint="eastAsia"/>
              </w:rPr>
            </w:pPr>
            <w:r>
              <w:rPr>
                <w:sz w:val="18"/>
              </w:rPr>
              <w:t>1418</w:t>
            </w:r>
          </w:p>
        </w:tc>
        <w:tc>
          <w:tcPr>
            <w:tcW w:w="1601" w:type="dxa"/>
            <w:vAlign w:val="center"/>
          </w:tcPr>
          <w:p w:rsidR="001B26A1" w:rsidRDefault="00000000" w14:paraId="68599050" w14:textId="77777777">
            <w:pPr>
              <w:rPr>
                <w:rFonts w:hint="eastAsia"/>
              </w:rPr>
            </w:pPr>
            <w:r>
              <w:rPr>
                <w:sz w:val="18"/>
              </w:rPr>
              <w:t>9.85 bn</w:t>
            </w:r>
          </w:p>
        </w:tc>
        <w:tc>
          <w:tcPr>
            <w:tcW w:w="1601" w:type="dxa"/>
            <w:vAlign w:val="center"/>
          </w:tcPr>
          <w:p w:rsidR="001B26A1" w:rsidRDefault="00000000" w14:paraId="4F023B0E" w14:textId="77777777">
            <w:pPr>
              <w:rPr>
                <w:rFonts w:hint="eastAsia"/>
              </w:rPr>
            </w:pPr>
            <w:r>
              <w:rPr>
                <w:sz w:val="18"/>
              </w:rPr>
              <w:t>717.2 m</w:t>
            </w:r>
          </w:p>
        </w:tc>
        <w:tc>
          <w:tcPr>
            <w:tcW w:w="1601" w:type="dxa"/>
            <w:vAlign w:val="center"/>
          </w:tcPr>
          <w:p w:rsidR="001B26A1" w:rsidRDefault="00000000" w14:paraId="23A07ACE" w14:textId="77777777">
            <w:pPr>
              <w:rPr>
                <w:rFonts w:hint="eastAsia"/>
              </w:rPr>
            </w:pPr>
            <w:r>
              <w:rPr>
                <w:sz w:val="18"/>
              </w:rPr>
              <w:t>44.11 bn</w:t>
            </w:r>
          </w:p>
        </w:tc>
        <w:tc>
          <w:tcPr>
            <w:tcW w:w="1601" w:type="dxa"/>
            <w:vAlign w:val="center"/>
          </w:tcPr>
          <w:p w:rsidR="001B26A1" w:rsidRDefault="00000000" w14:paraId="5E93E7D5" w14:textId="77777777">
            <w:pPr>
              <w:rPr>
                <w:rFonts w:hint="eastAsia"/>
              </w:rPr>
            </w:pPr>
            <w:r>
              <w:rPr>
                <w:sz w:val="18"/>
              </w:rPr>
              <w:t>2.30 bn</w:t>
            </w:r>
          </w:p>
        </w:tc>
      </w:tr>
      <w:tr w:rsidR="001B26A1" w14:paraId="412FE29B" w14:textId="77777777">
        <w:trPr>
          <w:jc w:val="center"/>
        </w:trPr>
        <w:tc>
          <w:tcPr>
            <w:tcW w:w="1601" w:type="dxa"/>
            <w:vAlign w:val="center"/>
          </w:tcPr>
          <w:p w:rsidR="001B26A1" w:rsidRDefault="00000000" w14:paraId="6E1F508C" w14:textId="77777777">
            <w:pPr>
              <w:rPr>
                <w:rFonts w:hint="eastAsia"/>
              </w:rPr>
            </w:pPr>
            <w:r>
              <w:rPr>
                <w:sz w:val="18"/>
              </w:rPr>
              <w:t>Optimistic</w:t>
            </w:r>
          </w:p>
        </w:tc>
        <w:tc>
          <w:tcPr>
            <w:tcW w:w="1601" w:type="dxa"/>
            <w:vAlign w:val="center"/>
          </w:tcPr>
          <w:p w:rsidR="001B26A1" w:rsidRDefault="00000000" w14:paraId="4261EAB1" w14:textId="77777777">
            <w:pPr>
              <w:rPr>
                <w:rFonts w:hint="eastAsia"/>
              </w:rPr>
            </w:pPr>
            <w:r>
              <w:rPr>
                <w:sz w:val="18"/>
              </w:rPr>
              <w:t>1499</w:t>
            </w:r>
          </w:p>
        </w:tc>
        <w:tc>
          <w:tcPr>
            <w:tcW w:w="1601" w:type="dxa"/>
            <w:vAlign w:val="center"/>
          </w:tcPr>
          <w:p w:rsidR="001B26A1" w:rsidRDefault="00000000" w14:paraId="41756E6E" w14:textId="77777777">
            <w:pPr>
              <w:rPr>
                <w:rFonts w:hint="eastAsia"/>
              </w:rPr>
            </w:pPr>
            <w:r>
              <w:rPr>
                <w:sz w:val="18"/>
              </w:rPr>
              <w:t>12.21 bn</w:t>
            </w:r>
          </w:p>
        </w:tc>
        <w:tc>
          <w:tcPr>
            <w:tcW w:w="1601" w:type="dxa"/>
            <w:vAlign w:val="center"/>
          </w:tcPr>
          <w:p w:rsidR="001B26A1" w:rsidRDefault="00000000" w14:paraId="511A3B8A" w14:textId="77777777">
            <w:pPr>
              <w:rPr>
                <w:rFonts w:hint="eastAsia"/>
              </w:rPr>
            </w:pPr>
            <w:r>
              <w:rPr>
                <w:sz w:val="18"/>
              </w:rPr>
              <w:t>1.21 bn</w:t>
            </w:r>
          </w:p>
        </w:tc>
        <w:tc>
          <w:tcPr>
            <w:tcW w:w="1601" w:type="dxa"/>
            <w:vAlign w:val="center"/>
          </w:tcPr>
          <w:p w:rsidR="001B26A1" w:rsidRDefault="00000000" w14:paraId="766B0535" w14:textId="77777777">
            <w:pPr>
              <w:rPr>
                <w:rFonts w:hint="eastAsia"/>
              </w:rPr>
            </w:pPr>
            <w:r>
              <w:rPr>
                <w:sz w:val="18"/>
              </w:rPr>
              <w:t>55.58 bn</w:t>
            </w:r>
          </w:p>
        </w:tc>
        <w:tc>
          <w:tcPr>
            <w:tcW w:w="1601" w:type="dxa"/>
            <w:vAlign w:val="center"/>
          </w:tcPr>
          <w:p w:rsidR="001B26A1" w:rsidRDefault="00000000" w14:paraId="02B3A790" w14:textId="77777777">
            <w:pPr>
              <w:rPr>
                <w:rFonts w:hint="eastAsia"/>
              </w:rPr>
            </w:pPr>
            <w:r>
              <w:rPr>
                <w:sz w:val="18"/>
              </w:rPr>
              <w:t>4.60 bn</w:t>
            </w:r>
          </w:p>
        </w:tc>
      </w:tr>
    </w:tbl>
    <w:p w:rsidR="001B26A1" w:rsidRDefault="001B26A1" w14:paraId="65151CFD" w14:textId="77777777">
      <w:pPr>
        <w:rPr>
          <w:rFonts w:hint="eastAsia"/>
        </w:rPr>
      </w:pPr>
    </w:p>
    <w:p w:rsidR="001B26A1" w:rsidRDefault="00000000" w14:paraId="76060E18" w14:textId="77777777">
      <w:pPr>
        <w:jc w:val="center"/>
        <w:rPr>
          <w:rFonts w:hint="eastAsia"/>
        </w:rPr>
      </w:pPr>
      <w:r>
        <w:rPr>
          <w:noProof/>
        </w:rPr>
        <w:drawing>
          <wp:inline distT="0" distB="0" distL="0" distR="0" wp14:anchorId="5CA6B580" wp14:editId="028DD1E3">
            <wp:extent cx="6217920" cy="2726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460bc3-5cd6-4b9f-a878-4ae7d1a0c83f.png"/>
                    <pic:cNvPicPr/>
                  </pic:nvPicPr>
                  <pic:blipFill>
                    <a:blip r:embed="rId9"/>
                    <a:stretch>
                      <a:fillRect/>
                    </a:stretch>
                  </pic:blipFill>
                  <pic:spPr>
                    <a:xfrm>
                      <a:off x="0" y="0"/>
                      <a:ext cx="6217920" cy="2726853"/>
                    </a:xfrm>
                    <a:prstGeom prst="rect">
                      <a:avLst/>
                    </a:prstGeom>
                  </pic:spPr>
                </pic:pic>
              </a:graphicData>
            </a:graphic>
          </wp:inline>
        </w:drawing>
      </w:r>
    </w:p>
    <w:p w:rsidR="001B26A1" w:rsidRDefault="00000000" w14:paraId="6157960B" w14:textId="77777777">
      <w:pPr>
        <w:jc w:val="center"/>
        <w:rPr>
          <w:rFonts w:hint="eastAsia"/>
        </w:rPr>
      </w:pPr>
      <w:r>
        <w:rPr>
          <w:i/>
          <w:sz w:val="18"/>
        </w:rPr>
        <w:t>Figure 4. Annual net incremental profit by scenario under a 10-year rollout.</w:t>
      </w:r>
    </w:p>
    <w:p w:rsidR="001B26A1" w:rsidRDefault="00000000" w14:paraId="7824106A" w14:textId="77777777">
      <w:pPr>
        <w:jc w:val="center"/>
        <w:rPr>
          <w:rFonts w:hint="eastAsia"/>
        </w:rPr>
      </w:pPr>
      <w:r>
        <w:rPr>
          <w:noProof/>
        </w:rPr>
        <w:drawing>
          <wp:inline distT="0" distB="0" distL="0" distR="0" wp14:anchorId="15B99189" wp14:editId="0B1104B9">
            <wp:extent cx="6217920" cy="3001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bca6-5a37-4368-bb75-128e90828dd4.png"/>
                    <pic:cNvPicPr/>
                  </pic:nvPicPr>
                  <pic:blipFill>
                    <a:blip r:embed="rId10"/>
                    <a:stretch>
                      <a:fillRect/>
                    </a:stretch>
                  </pic:blipFill>
                  <pic:spPr>
                    <a:xfrm>
                      <a:off x="0" y="0"/>
                      <a:ext cx="6217920" cy="3001985"/>
                    </a:xfrm>
                    <a:prstGeom prst="rect">
                      <a:avLst/>
                    </a:prstGeom>
                  </pic:spPr>
                </pic:pic>
              </a:graphicData>
            </a:graphic>
          </wp:inline>
        </w:drawing>
      </w:r>
    </w:p>
    <w:p w:rsidR="001B26A1" w:rsidRDefault="00000000" w14:paraId="1A96AC58" w14:textId="77777777">
      <w:pPr>
        <w:jc w:val="center"/>
        <w:rPr>
          <w:rFonts w:hint="eastAsia"/>
        </w:rPr>
      </w:pPr>
      <w:r>
        <w:rPr>
          <w:i/>
          <w:sz w:val="18"/>
        </w:rPr>
        <w:t>Figure 5. Cumulative net incremental profit by scenario under a 10-year rollout.</w:t>
      </w:r>
    </w:p>
    <w:p w:rsidR="001B26A1" w:rsidRDefault="00000000" w14:paraId="215E6CC9" w14:textId="77777777">
      <w:pPr>
        <w:jc w:val="center"/>
        <w:rPr>
          <w:rFonts w:hint="eastAsia"/>
        </w:rPr>
      </w:pPr>
      <w:r>
        <w:rPr>
          <w:noProof/>
        </w:rPr>
        <w:drawing>
          <wp:inline distT="0" distB="0" distL="0" distR="0" wp14:anchorId="26EEF06B" wp14:editId="378A1017">
            <wp:extent cx="6217920" cy="2998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c47569-7455-465c-b3f9-3217310307ce.png"/>
                    <pic:cNvPicPr/>
                  </pic:nvPicPr>
                  <pic:blipFill>
                    <a:blip r:embed="rId11"/>
                    <a:stretch>
                      <a:fillRect/>
                    </a:stretch>
                  </pic:blipFill>
                  <pic:spPr>
                    <a:xfrm>
                      <a:off x="0" y="0"/>
                      <a:ext cx="6217920" cy="2998621"/>
                    </a:xfrm>
                    <a:prstGeom prst="rect">
                      <a:avLst/>
                    </a:prstGeom>
                  </pic:spPr>
                </pic:pic>
              </a:graphicData>
            </a:graphic>
          </wp:inline>
        </w:drawing>
      </w:r>
    </w:p>
    <w:p w:rsidR="001B26A1" w:rsidRDefault="00000000" w14:paraId="3E801311" w14:textId="77777777">
      <w:pPr>
        <w:jc w:val="center"/>
        <w:rPr>
          <w:rFonts w:hint="eastAsia"/>
        </w:rPr>
      </w:pPr>
      <w:r>
        <w:rPr>
          <w:i/>
          <w:sz w:val="18"/>
        </w:rPr>
        <w:t>Figure 6. Base-case revenue path under the 10-year rollout.</w:t>
      </w:r>
    </w:p>
    <w:p w:rsidR="001B26A1" w:rsidP="00BE740B" w:rsidRDefault="00000000" w14:paraId="526847EB" w14:textId="77777777">
      <w:pPr>
        <w:spacing w:after="120"/>
        <w:rPr>
          <w:rFonts w:hint="eastAsia"/>
        </w:rPr>
      </w:pPr>
      <w:r>
        <w:rPr>
          <w:sz w:val="22"/>
        </w:rPr>
        <w:t xml:space="preserve">The ten-year results create a coherent strategic story. </w:t>
      </w:r>
      <w:r>
        <w:rPr>
          <w:sz w:val="22"/>
        </w:rPr>
        <w:br/>
      </w:r>
      <w:r>
        <w:rPr>
          <w:sz w:val="22"/>
        </w:rPr>
        <w:t xml:space="preserve">Under the conservative case, annual and cumulative profit remain subdued for much longer, implying a slow-payback expansion path. </w:t>
      </w:r>
      <w:r>
        <w:rPr>
          <w:sz w:val="22"/>
        </w:rPr>
        <w:br/>
      </w:r>
      <w:r>
        <w:rPr>
          <w:sz w:val="22"/>
        </w:rPr>
        <w:t xml:space="preserve">Under the base case, the program behaves like a classic investment-then-harvest project: early years are cost-heavy, the middle years cross into positive cumulative territory, and later years become strongly profit-accretive. </w:t>
      </w:r>
      <w:r>
        <w:rPr>
          <w:sz w:val="22"/>
        </w:rPr>
        <w:br/>
      </w:r>
      <w:r>
        <w:rPr>
          <w:sz w:val="22"/>
        </w:rPr>
        <w:t>Under the optimistic case, earlier cohort maturity, higher dealer productivity, and better cost control produce a much steeper cumulative payoff profile.</w:t>
      </w:r>
    </w:p>
    <w:p w:rsidR="001B26A1" w:rsidRDefault="00000000" w14:paraId="059BECEC" w14:textId="77777777">
      <w:pPr>
        <w:spacing w:after="160"/>
        <w:rPr>
          <w:rFonts w:hint="eastAsia"/>
        </w:rPr>
      </w:pPr>
      <w:r>
        <w:rPr>
          <w:b/>
          <w:color w:val="1F4E79"/>
          <w:sz w:val="32"/>
        </w:rPr>
        <w:t>7. Conclusions and Managerial Implications</w:t>
      </w:r>
    </w:p>
    <w:p w:rsidR="001B26A1" w:rsidRDefault="00000000" w14:paraId="49DCD873" w14:textId="77777777">
      <w:pPr>
        <w:pStyle w:val="a0"/>
        <w:ind w:left="0"/>
        <w:rPr>
          <w:rFonts w:hint="eastAsia"/>
        </w:rPr>
      </w:pPr>
      <w:r>
        <w:t>The clustering study was successfully converted from a descriptive strategic segmentation into actionable modelling inputs.</w:t>
      </w:r>
    </w:p>
    <w:p w:rsidR="001B26A1" w:rsidRDefault="00000000" w14:paraId="38688EE4" w14:textId="77777777">
      <w:pPr>
        <w:pStyle w:val="a0"/>
        <w:ind w:left="0"/>
        <w:rPr>
          <w:rFonts w:hint="eastAsia"/>
        </w:rPr>
      </w:pPr>
      <w:r>
        <w:t>State-level market structure mattered for dealership entry screening, but not for dealership-count capacity once a city was already served.</w:t>
      </w:r>
    </w:p>
    <w:p w:rsidR="001B26A1" w:rsidRDefault="00000000" w14:paraId="1E3E95E0" w14:textId="77777777">
      <w:pPr>
        <w:pStyle w:val="a0"/>
        <w:ind w:left="0"/>
        <w:rPr>
          <w:rFonts w:hint="eastAsia"/>
        </w:rPr>
      </w:pPr>
      <w:r>
        <w:t>The final Stage 1 model is best interpreted as a city-entry filter; the final Stage 2 model is best interpreted as a city-capacity estimator.</w:t>
      </w:r>
    </w:p>
    <w:p w:rsidR="001B26A1" w:rsidRDefault="00000000" w14:paraId="62086C11" w14:textId="77777777">
      <w:pPr>
        <w:pStyle w:val="a0"/>
        <w:ind w:left="0"/>
        <w:rPr>
          <w:rFonts w:hint="eastAsia"/>
        </w:rPr>
      </w:pPr>
      <w:r>
        <w:t>The resulting recommendation set should be viewed as a long-run expansion target pool rather than a one-year rollout instruction.</w:t>
      </w:r>
    </w:p>
    <w:p w:rsidR="001B26A1" w:rsidRDefault="00000000" w14:paraId="7826C321" w14:textId="77777777">
      <w:pPr>
        <w:pStyle w:val="a0"/>
        <w:ind w:left="0"/>
        <w:rPr>
          <w:rFonts w:hint="eastAsia"/>
        </w:rPr>
      </w:pPr>
      <w:r>
        <w:t>A phased ten-year implementation path is economically more credible than a one-year expansion attempt and produces an interpretable investment-and-harvest profile.</w:t>
      </w:r>
    </w:p>
    <w:p w:rsidR="001B26A1" w:rsidP="00BE740B" w:rsidRDefault="00000000" w14:paraId="488FFF4E" w14:textId="372E9F10">
      <w:pPr>
        <w:spacing w:after="120"/>
      </w:pPr>
      <w:r w:rsidRPr="06625918" w:rsidR="00000000">
        <w:rPr>
          <w:sz w:val="22"/>
          <w:szCs w:val="22"/>
        </w:rPr>
        <w:t xml:space="preserve">From a business perspective, the most important message is that the value of network expansion depends not only on where Toyota expands but also on how quickly it scales, how fast new dealers ramp up, and how tightly rollout costs are controlled. </w:t>
      </w:r>
      <w:r>
        <w:br/>
      </w:r>
      <w:r w:rsidRPr="06625918" w:rsidR="00000000">
        <w:rPr>
          <w:sz w:val="22"/>
          <w:szCs w:val="22"/>
        </w:rPr>
        <w:t xml:space="preserve">The modelling workflow therefore supports both strategic market </w:t>
      </w:r>
      <w:r w:rsidRPr="06625918" w:rsidR="00000000">
        <w:rPr>
          <w:sz w:val="22"/>
          <w:szCs w:val="22"/>
        </w:rPr>
        <w:t>prioritisation</w:t>
      </w:r>
      <w:r w:rsidRPr="06625918" w:rsidR="00000000">
        <w:rPr>
          <w:sz w:val="22"/>
          <w:szCs w:val="22"/>
        </w:rPr>
        <w:t xml:space="preserve"> and implementation planning.</w:t>
      </w:r>
    </w:p>
    <w:sectPr w:rsidR="001B26A1" w:rsidSect="00034616">
      <w:pgSz w:w="11909" w:h="16834"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 w16cid:durableId="1170758541">
    <w:abstractNumId w:val="8"/>
  </w:num>
  <w:num w:numId="2" w16cid:durableId="371923156">
    <w:abstractNumId w:val="6"/>
  </w:num>
  <w:num w:numId="3" w16cid:durableId="886454124">
    <w:abstractNumId w:val="5"/>
  </w:num>
  <w:num w:numId="4" w16cid:durableId="1878154283">
    <w:abstractNumId w:val="4"/>
  </w:num>
  <w:num w:numId="5" w16cid:durableId="1620720842">
    <w:abstractNumId w:val="7"/>
  </w:num>
  <w:num w:numId="6" w16cid:durableId="1069229187">
    <w:abstractNumId w:val="3"/>
  </w:num>
  <w:num w:numId="7" w16cid:durableId="1803882555">
    <w:abstractNumId w:val="2"/>
  </w:num>
  <w:num w:numId="8" w16cid:durableId="161552851">
    <w:abstractNumId w:val="1"/>
  </w:num>
  <w:num w:numId="9" w16cid:durableId="20886511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6"/>
  <w:bordersDoNotSurroundHeader/>
  <w:bordersDoNotSurroundFooter/>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1B26A1"/>
    <w:rsid w:val="002751E9"/>
    <w:rsid w:val="0029639D"/>
    <w:rsid w:val="00326F90"/>
    <w:rsid w:val="00AA1D8D"/>
    <w:rsid w:val="00B47730"/>
    <w:rsid w:val="00BE740B"/>
    <w:rsid w:val="00CB0664"/>
    <w:rsid w:val="00FC693F"/>
    <w:rsid w:val="066259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75D5E"/>
  <w14:defaultImageDpi w14:val="300"/>
  <w15:docId w15:val="{1A34C73D-F2F6-0A41-86F3-1D4209DB41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页脚 字符"/>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标题 1 字符"/>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标题 2 字符"/>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标题 3 字符"/>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标题 字符"/>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副标题 字符"/>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引用 字符"/>
    <w:basedOn w:val="a2"/>
    <w:link w:val="af5"/>
    <w:uiPriority w:val="29"/>
    <w:rsid w:val="00FC693F"/>
    <w:rPr>
      <w:i/>
      <w:iCs/>
      <w:color w:val="000000" w:themeColor="text1"/>
    </w:rPr>
  </w:style>
  <w:style w:type="character" w:styleId="40" w:customStyle="1">
    <w:name w:val="标题 4 字符"/>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标题 5 字符"/>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标题 6 字符"/>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标题 7 字符"/>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标题 8 字符"/>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标题 9 字符"/>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b" w:customStyle="1">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CHEN, SIYU</lastModifiedBy>
  <revision>3</revision>
  <dcterms:created xsi:type="dcterms:W3CDTF">2013-12-23T23:15:00.0000000Z</dcterms:created>
  <dcterms:modified xsi:type="dcterms:W3CDTF">2026-03-17T01:57:45.7620503Z</dcterms:modified>
  <category/>
</coreProperties>
</file>